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19DA" w:rsidRPr="00AE33FD" w:rsidRDefault="004519DA" w:rsidP="004519DA">
      <w:pPr>
        <w:spacing w:before="240" w:after="120"/>
        <w:rPr>
          <w:b/>
        </w:rPr>
      </w:pPr>
      <w:r w:rsidRPr="00AE33FD">
        <w:rPr>
          <w:b/>
        </w:rPr>
        <w:t>OBSAH:</w:t>
      </w:r>
    </w:p>
    <w:p w:rsidR="007D69F3" w:rsidRPr="00A570A3" w:rsidRDefault="00BA1E39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r w:rsidRPr="00AE33FD">
        <w:rPr>
          <w:rStyle w:val="Hypertextovodkaz"/>
          <w:b/>
        </w:rPr>
        <w:fldChar w:fldCharType="begin"/>
      </w:r>
      <w:r w:rsidRPr="00AE33FD">
        <w:rPr>
          <w:rStyle w:val="Hypertextovodkaz"/>
          <w:b/>
        </w:rPr>
        <w:instrText xml:space="preserve"> TOC \o "1-3" \h \z \u </w:instrText>
      </w:r>
      <w:r w:rsidRPr="00AE33FD">
        <w:rPr>
          <w:rStyle w:val="Hypertextovodkaz"/>
          <w:b/>
        </w:rPr>
        <w:fldChar w:fldCharType="separate"/>
      </w:r>
      <w:hyperlink w:anchor="_Toc42849990" w:history="1">
        <w:r w:rsidR="007D69F3" w:rsidRPr="003665F0">
          <w:rPr>
            <w:rStyle w:val="Hypertextovodkaz"/>
          </w:rPr>
          <w:t>1. Identifikační údaje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_Toc42849990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2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49991" w:history="1">
        <w:r w:rsidR="007D69F3" w:rsidRPr="003665F0">
          <w:rPr>
            <w:rStyle w:val="Hypertextovodkaz"/>
          </w:rPr>
          <w:t>2. Předmět projektu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_Toc42849991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2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49992" w:history="1">
        <w:r w:rsidR="007D69F3" w:rsidRPr="003665F0">
          <w:rPr>
            <w:rStyle w:val="Hypertextovodkaz"/>
          </w:rPr>
          <w:t>3. Podklady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_Toc42849992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2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cs-CZ"/>
        </w:rPr>
      </w:pPr>
      <w:hyperlink w:anchor="_Toc42849993" w:history="1">
        <w:r w:rsidR="007D69F3" w:rsidRPr="003665F0">
          <w:rPr>
            <w:rStyle w:val="Hypertextovodkaz"/>
            <w:noProof/>
          </w:rPr>
          <w:t>3.1. Projektové podklady</w:t>
        </w:r>
        <w:r w:rsidR="007D69F3">
          <w:rPr>
            <w:noProof/>
            <w:webHidden/>
          </w:rPr>
          <w:tab/>
        </w:r>
        <w:r w:rsidR="007D69F3">
          <w:rPr>
            <w:noProof/>
            <w:webHidden/>
          </w:rPr>
          <w:fldChar w:fldCharType="begin"/>
        </w:r>
        <w:r w:rsidR="007D69F3">
          <w:rPr>
            <w:noProof/>
            <w:webHidden/>
          </w:rPr>
          <w:instrText xml:space="preserve"> PAGEREF _Toc42849993 \h </w:instrText>
        </w:r>
        <w:r w:rsidR="007D69F3">
          <w:rPr>
            <w:noProof/>
            <w:webHidden/>
          </w:rPr>
        </w:r>
        <w:r w:rsidR="007D69F3">
          <w:rPr>
            <w:noProof/>
            <w:webHidden/>
          </w:rPr>
          <w:fldChar w:fldCharType="separate"/>
        </w:r>
        <w:r w:rsidR="007D69F3">
          <w:rPr>
            <w:noProof/>
            <w:webHidden/>
          </w:rPr>
          <w:t>2</w:t>
        </w:r>
        <w:r w:rsidR="007D69F3">
          <w:rPr>
            <w:noProof/>
            <w:webHidden/>
          </w:rPr>
          <w:fldChar w:fldCharType="end"/>
        </w:r>
      </w:hyperlink>
    </w:p>
    <w:p w:rsidR="007D69F3" w:rsidRPr="00A570A3" w:rsidRDefault="00A570A3">
      <w:pPr>
        <w:pStyle w:val="Obsah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cs-CZ"/>
        </w:rPr>
      </w:pPr>
      <w:hyperlink w:anchor="_Toc42849994" w:history="1">
        <w:r w:rsidR="007D69F3" w:rsidRPr="003665F0">
          <w:rPr>
            <w:rStyle w:val="Hypertextovodkaz"/>
            <w:noProof/>
          </w:rPr>
          <w:t>3.2. Průzkumy</w:t>
        </w:r>
        <w:r w:rsidR="007D69F3">
          <w:rPr>
            <w:noProof/>
            <w:webHidden/>
          </w:rPr>
          <w:tab/>
        </w:r>
        <w:r w:rsidR="007D69F3">
          <w:rPr>
            <w:noProof/>
            <w:webHidden/>
          </w:rPr>
          <w:fldChar w:fldCharType="begin"/>
        </w:r>
        <w:r w:rsidR="007D69F3">
          <w:rPr>
            <w:noProof/>
            <w:webHidden/>
          </w:rPr>
          <w:instrText xml:space="preserve"> PAGEREF _Toc42849994 \h </w:instrText>
        </w:r>
        <w:r w:rsidR="007D69F3">
          <w:rPr>
            <w:noProof/>
            <w:webHidden/>
          </w:rPr>
        </w:r>
        <w:r w:rsidR="007D69F3">
          <w:rPr>
            <w:noProof/>
            <w:webHidden/>
          </w:rPr>
          <w:fldChar w:fldCharType="separate"/>
        </w:r>
        <w:r w:rsidR="007D69F3">
          <w:rPr>
            <w:noProof/>
            <w:webHidden/>
          </w:rPr>
          <w:t>2</w:t>
        </w:r>
        <w:r w:rsidR="007D69F3">
          <w:rPr>
            <w:noProof/>
            <w:webHidden/>
          </w:rPr>
          <w:fldChar w:fldCharType="end"/>
        </w:r>
      </w:hyperlink>
    </w:p>
    <w:p w:rsidR="007D69F3" w:rsidRPr="00A570A3" w:rsidRDefault="00A570A3">
      <w:pPr>
        <w:pStyle w:val="Obsah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cs-CZ"/>
        </w:rPr>
      </w:pPr>
      <w:hyperlink w:anchor="_Toc42849995" w:history="1">
        <w:r w:rsidR="007D69F3" w:rsidRPr="003665F0">
          <w:rPr>
            <w:rStyle w:val="Hypertextovodkaz"/>
            <w:noProof/>
          </w:rPr>
          <w:t>3.3. Normy navrhování</w:t>
        </w:r>
        <w:r w:rsidR="007D69F3">
          <w:rPr>
            <w:noProof/>
            <w:webHidden/>
          </w:rPr>
          <w:tab/>
        </w:r>
        <w:r w:rsidR="007D69F3">
          <w:rPr>
            <w:noProof/>
            <w:webHidden/>
          </w:rPr>
          <w:fldChar w:fldCharType="begin"/>
        </w:r>
        <w:r w:rsidR="007D69F3">
          <w:rPr>
            <w:noProof/>
            <w:webHidden/>
          </w:rPr>
          <w:instrText xml:space="preserve"> PAGEREF _Toc42849995 \h </w:instrText>
        </w:r>
        <w:r w:rsidR="007D69F3">
          <w:rPr>
            <w:noProof/>
            <w:webHidden/>
          </w:rPr>
        </w:r>
        <w:r w:rsidR="007D69F3">
          <w:rPr>
            <w:noProof/>
            <w:webHidden/>
          </w:rPr>
          <w:fldChar w:fldCharType="separate"/>
        </w:r>
        <w:r w:rsidR="007D69F3">
          <w:rPr>
            <w:noProof/>
            <w:webHidden/>
          </w:rPr>
          <w:t>2</w:t>
        </w:r>
        <w:r w:rsidR="007D69F3">
          <w:rPr>
            <w:noProof/>
            <w:webHidden/>
          </w:rPr>
          <w:fldChar w:fldCharType="end"/>
        </w:r>
      </w:hyperlink>
    </w:p>
    <w:p w:rsidR="007D69F3" w:rsidRPr="00A570A3" w:rsidRDefault="00A570A3">
      <w:pPr>
        <w:pStyle w:val="Obsah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cs-CZ"/>
        </w:rPr>
      </w:pPr>
      <w:hyperlink w:anchor="_Toc42849996" w:history="1">
        <w:r w:rsidR="007D69F3" w:rsidRPr="003665F0">
          <w:rPr>
            <w:rStyle w:val="Hypertextovodkaz"/>
            <w:noProof/>
          </w:rPr>
          <w:t>3.4. Další použité pomůcky</w:t>
        </w:r>
        <w:r w:rsidR="007D69F3">
          <w:rPr>
            <w:noProof/>
            <w:webHidden/>
          </w:rPr>
          <w:tab/>
        </w:r>
        <w:r w:rsidR="007D69F3">
          <w:rPr>
            <w:noProof/>
            <w:webHidden/>
          </w:rPr>
          <w:fldChar w:fldCharType="begin"/>
        </w:r>
        <w:r w:rsidR="007D69F3">
          <w:rPr>
            <w:noProof/>
            <w:webHidden/>
          </w:rPr>
          <w:instrText xml:space="preserve"> PAGEREF _Toc42849996 \h </w:instrText>
        </w:r>
        <w:r w:rsidR="007D69F3">
          <w:rPr>
            <w:noProof/>
            <w:webHidden/>
          </w:rPr>
        </w:r>
        <w:r w:rsidR="007D69F3">
          <w:rPr>
            <w:noProof/>
            <w:webHidden/>
          </w:rPr>
          <w:fldChar w:fldCharType="separate"/>
        </w:r>
        <w:r w:rsidR="007D69F3">
          <w:rPr>
            <w:noProof/>
            <w:webHidden/>
          </w:rPr>
          <w:t>3</w:t>
        </w:r>
        <w:r w:rsidR="007D69F3">
          <w:rPr>
            <w:noProof/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49997" w:history="1">
        <w:r w:rsidR="007D69F3" w:rsidRPr="003665F0">
          <w:rPr>
            <w:rStyle w:val="Hypertextovodkaz"/>
          </w:rPr>
          <w:t>4. Zatížení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_Toc42849997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3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49998" w:history="1">
        <w:r w:rsidR="007D69F3" w:rsidRPr="003665F0">
          <w:rPr>
            <w:rStyle w:val="Hypertextovodkaz"/>
          </w:rPr>
          <w:t>5. Popis stávajícího objektu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_Toc42849998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3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49999" w:history="1">
        <w:r w:rsidR="007D69F3" w:rsidRPr="003665F0">
          <w:rPr>
            <w:rStyle w:val="Hypertextovodkaz"/>
          </w:rPr>
          <w:t>6. Obecný popis stavebních úprav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_Toc42849999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4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00" w:history="1">
        <w:r w:rsidR="007D69F3" w:rsidRPr="003665F0">
          <w:rPr>
            <w:rStyle w:val="Hypertextovodkaz"/>
          </w:rPr>
          <w:t>7. Popis konstrukcí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_Toc42850000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4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cs-CZ"/>
        </w:rPr>
      </w:pPr>
      <w:hyperlink w:anchor="_Toc42850001" w:history="1">
        <w:r w:rsidR="007D69F3" w:rsidRPr="003665F0">
          <w:rPr>
            <w:rStyle w:val="Hypertextovodkaz"/>
            <w:noProof/>
          </w:rPr>
          <w:t>7.1. Svislé konstrukce – stěny a sloupy</w:t>
        </w:r>
        <w:r w:rsidR="007D69F3">
          <w:rPr>
            <w:noProof/>
            <w:webHidden/>
          </w:rPr>
          <w:tab/>
        </w:r>
        <w:r w:rsidR="007D69F3">
          <w:rPr>
            <w:noProof/>
            <w:webHidden/>
          </w:rPr>
          <w:fldChar w:fldCharType="begin"/>
        </w:r>
        <w:r w:rsidR="007D69F3">
          <w:rPr>
            <w:noProof/>
            <w:webHidden/>
          </w:rPr>
          <w:instrText xml:space="preserve"> PAGEREF _Toc42850001 \h </w:instrText>
        </w:r>
        <w:r w:rsidR="007D69F3">
          <w:rPr>
            <w:noProof/>
            <w:webHidden/>
          </w:rPr>
        </w:r>
        <w:r w:rsidR="007D69F3">
          <w:rPr>
            <w:noProof/>
            <w:webHidden/>
          </w:rPr>
          <w:fldChar w:fldCharType="separate"/>
        </w:r>
        <w:r w:rsidR="007D69F3">
          <w:rPr>
            <w:noProof/>
            <w:webHidden/>
          </w:rPr>
          <w:t>4</w:t>
        </w:r>
        <w:r w:rsidR="007D69F3">
          <w:rPr>
            <w:noProof/>
            <w:webHidden/>
          </w:rPr>
          <w:fldChar w:fldCharType="end"/>
        </w:r>
      </w:hyperlink>
    </w:p>
    <w:p w:rsidR="007D69F3" w:rsidRPr="00A570A3" w:rsidRDefault="00A570A3">
      <w:pPr>
        <w:pStyle w:val="Obsah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cs-CZ"/>
        </w:rPr>
      </w:pPr>
      <w:hyperlink w:anchor="_Toc42850002" w:history="1">
        <w:r w:rsidR="007D69F3" w:rsidRPr="003665F0">
          <w:rPr>
            <w:rStyle w:val="Hypertextovodkaz"/>
            <w:noProof/>
          </w:rPr>
          <w:t>7.2. Vodorovné konstrukce - stropy</w:t>
        </w:r>
        <w:r w:rsidR="007D69F3">
          <w:rPr>
            <w:noProof/>
            <w:webHidden/>
          </w:rPr>
          <w:tab/>
        </w:r>
        <w:r w:rsidR="007D69F3">
          <w:rPr>
            <w:noProof/>
            <w:webHidden/>
          </w:rPr>
          <w:fldChar w:fldCharType="begin"/>
        </w:r>
        <w:r w:rsidR="007D69F3">
          <w:rPr>
            <w:noProof/>
            <w:webHidden/>
          </w:rPr>
          <w:instrText xml:space="preserve"> PAGEREF _Toc42850002 \h </w:instrText>
        </w:r>
        <w:r w:rsidR="007D69F3">
          <w:rPr>
            <w:noProof/>
            <w:webHidden/>
          </w:rPr>
        </w:r>
        <w:r w:rsidR="007D69F3">
          <w:rPr>
            <w:noProof/>
            <w:webHidden/>
          </w:rPr>
          <w:fldChar w:fldCharType="separate"/>
        </w:r>
        <w:r w:rsidR="007D69F3">
          <w:rPr>
            <w:noProof/>
            <w:webHidden/>
          </w:rPr>
          <w:t>4</w:t>
        </w:r>
        <w:r w:rsidR="007D69F3">
          <w:rPr>
            <w:noProof/>
            <w:webHidden/>
          </w:rPr>
          <w:fldChar w:fldCharType="end"/>
        </w:r>
      </w:hyperlink>
    </w:p>
    <w:p w:rsidR="007D69F3" w:rsidRPr="00A570A3" w:rsidRDefault="00A570A3">
      <w:pPr>
        <w:pStyle w:val="Obsah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cs-CZ"/>
        </w:rPr>
      </w:pPr>
      <w:hyperlink w:anchor="_Toc42850003" w:history="1">
        <w:r w:rsidR="007D69F3" w:rsidRPr="003665F0">
          <w:rPr>
            <w:rStyle w:val="Hypertextovodkaz"/>
            <w:noProof/>
          </w:rPr>
          <w:t>7.3. Podkroví</w:t>
        </w:r>
        <w:r w:rsidR="007D69F3">
          <w:rPr>
            <w:noProof/>
            <w:webHidden/>
          </w:rPr>
          <w:tab/>
        </w:r>
        <w:r w:rsidR="007D69F3">
          <w:rPr>
            <w:noProof/>
            <w:webHidden/>
          </w:rPr>
          <w:fldChar w:fldCharType="begin"/>
        </w:r>
        <w:r w:rsidR="007D69F3">
          <w:rPr>
            <w:noProof/>
            <w:webHidden/>
          </w:rPr>
          <w:instrText xml:space="preserve"> PAGEREF _Toc42850003 \h </w:instrText>
        </w:r>
        <w:r w:rsidR="007D69F3">
          <w:rPr>
            <w:noProof/>
            <w:webHidden/>
          </w:rPr>
        </w:r>
        <w:r w:rsidR="007D69F3">
          <w:rPr>
            <w:noProof/>
            <w:webHidden/>
          </w:rPr>
          <w:fldChar w:fldCharType="separate"/>
        </w:r>
        <w:r w:rsidR="007D69F3">
          <w:rPr>
            <w:noProof/>
            <w:webHidden/>
          </w:rPr>
          <w:t>5</w:t>
        </w:r>
        <w:r w:rsidR="007D69F3">
          <w:rPr>
            <w:noProof/>
            <w:webHidden/>
          </w:rPr>
          <w:fldChar w:fldCharType="end"/>
        </w:r>
      </w:hyperlink>
    </w:p>
    <w:p w:rsidR="007D69F3" w:rsidRPr="00A570A3" w:rsidRDefault="00A570A3">
      <w:pPr>
        <w:pStyle w:val="Obsah3"/>
        <w:tabs>
          <w:tab w:val="right" w:leader="dot" w:pos="9345"/>
        </w:tabs>
        <w:rPr>
          <w:rFonts w:ascii="Calibri" w:hAnsi="Calibri"/>
          <w:noProof/>
          <w:sz w:val="22"/>
          <w:szCs w:val="22"/>
          <w:lang w:eastAsia="cs-CZ"/>
        </w:rPr>
      </w:pPr>
      <w:hyperlink w:anchor="_Toc42850004" w:history="1">
        <w:r w:rsidR="007D69F3" w:rsidRPr="003665F0">
          <w:rPr>
            <w:rStyle w:val="Hypertextovodkaz"/>
            <w:noProof/>
          </w:rPr>
          <w:t>7.4. Konstrukce střechy</w:t>
        </w:r>
        <w:r w:rsidR="007D69F3">
          <w:rPr>
            <w:noProof/>
            <w:webHidden/>
          </w:rPr>
          <w:tab/>
        </w:r>
        <w:r w:rsidR="007D69F3">
          <w:rPr>
            <w:noProof/>
            <w:webHidden/>
          </w:rPr>
          <w:fldChar w:fldCharType="begin"/>
        </w:r>
        <w:r w:rsidR="007D69F3">
          <w:rPr>
            <w:noProof/>
            <w:webHidden/>
          </w:rPr>
          <w:instrText xml:space="preserve"> PAGEREF _Toc42850004 \h </w:instrText>
        </w:r>
        <w:r w:rsidR="007D69F3">
          <w:rPr>
            <w:noProof/>
            <w:webHidden/>
          </w:rPr>
        </w:r>
        <w:r w:rsidR="007D69F3">
          <w:rPr>
            <w:noProof/>
            <w:webHidden/>
          </w:rPr>
          <w:fldChar w:fldCharType="separate"/>
        </w:r>
        <w:r w:rsidR="007D69F3">
          <w:rPr>
            <w:noProof/>
            <w:webHidden/>
          </w:rPr>
          <w:t>5</w:t>
        </w:r>
        <w:r w:rsidR="007D69F3">
          <w:rPr>
            <w:noProof/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05" w:history="1">
        <w:r w:rsidR="007D69F3" w:rsidRPr="003665F0">
          <w:rPr>
            <w:rStyle w:val="Hypertextovodkaz"/>
          </w:rPr>
          <w:t>8. Popis postupu prací pro provedení nových otvorů ve stávajících stěnách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_Toc42850005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5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06" w:history="1">
        <w:r w:rsidR="007D69F3" w:rsidRPr="003665F0">
          <w:rPr>
            <w:rStyle w:val="Hypertextovodkaz"/>
          </w:rPr>
          <w:t>9. Navrhované materiály a výrobky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_Toc42850006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6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07" w:history="1">
        <w:r w:rsidR="007D69F3" w:rsidRPr="003665F0">
          <w:rPr>
            <w:rStyle w:val="Hypertextovodkaz"/>
          </w:rPr>
          <w:t>10. Požadavky na vzhled a povrchové úpravy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_Toc42850007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7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08" w:history="1">
        <w:r w:rsidR="007D69F3" w:rsidRPr="003665F0">
          <w:rPr>
            <w:rStyle w:val="Hypertextovodkaz"/>
          </w:rPr>
          <w:t>11. Požadavky na postup prací a kontrolu během provádění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_Toc42850008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7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09" w:history="1">
        <w:r w:rsidR="007D69F3" w:rsidRPr="003665F0">
          <w:rPr>
            <w:rStyle w:val="Hypertextovodkaz"/>
          </w:rPr>
          <w:t>12. Stanovení podmínek pro provedení stavby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_Toc42850009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8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10" w:history="1">
        <w:r w:rsidR="007D69F3" w:rsidRPr="003665F0">
          <w:rPr>
            <w:rStyle w:val="Hypertextovodkaz"/>
          </w:rPr>
          <w:t>13. Technické normy provádění a kontroly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_Toc42850010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8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11" w:history="1">
        <w:r w:rsidR="007D69F3" w:rsidRPr="003665F0">
          <w:rPr>
            <w:rStyle w:val="Hypertextovodkaz"/>
          </w:rPr>
          <w:t>14. Bezpečnost a ochrana zdraví při práci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_Toc42850011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8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12" w:history="1">
        <w:r w:rsidR="007D69F3" w:rsidRPr="003665F0">
          <w:rPr>
            <w:rStyle w:val="Hypertextovodkaz"/>
          </w:rPr>
          <w:t>15. Třída následků stavby a třídy provádění konstrukcí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_Toc42850012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9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13" w:history="1">
        <w:r w:rsidR="007D69F3" w:rsidRPr="003665F0">
          <w:rPr>
            <w:rStyle w:val="Hypertextovodkaz"/>
          </w:rPr>
          <w:t>16. Požární ochrana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_Toc42850013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9</w:t>
        </w:r>
        <w:r w:rsidR="007D69F3">
          <w:rPr>
            <w:webHidden/>
          </w:rPr>
          <w:fldChar w:fldCharType="end"/>
        </w:r>
      </w:hyperlink>
    </w:p>
    <w:p w:rsidR="007D69F3" w:rsidRPr="00A570A3" w:rsidRDefault="00A570A3">
      <w:pPr>
        <w:pStyle w:val="Obsah2"/>
        <w:rPr>
          <w:rFonts w:ascii="Calibri" w:hAnsi="Calibri"/>
          <w:color w:val="auto"/>
          <w:sz w:val="22"/>
          <w:szCs w:val="22"/>
          <w:lang w:eastAsia="cs-CZ"/>
        </w:rPr>
      </w:pPr>
      <w:hyperlink w:anchor="_Toc42850014" w:history="1">
        <w:r w:rsidR="007D69F3" w:rsidRPr="003665F0">
          <w:rPr>
            <w:rStyle w:val="Hypertextovodkaz"/>
          </w:rPr>
          <w:t>17. Plán kontroly spolehlivosti konstrukcí</w:t>
        </w:r>
        <w:r w:rsidR="007D69F3">
          <w:rPr>
            <w:webHidden/>
          </w:rPr>
          <w:tab/>
        </w:r>
        <w:r w:rsidR="007D69F3">
          <w:rPr>
            <w:webHidden/>
          </w:rPr>
          <w:fldChar w:fldCharType="begin"/>
        </w:r>
        <w:r w:rsidR="007D69F3">
          <w:rPr>
            <w:webHidden/>
          </w:rPr>
          <w:instrText xml:space="preserve"> PAGEREF _Toc42850014 \h </w:instrText>
        </w:r>
        <w:r w:rsidR="007D69F3">
          <w:rPr>
            <w:webHidden/>
          </w:rPr>
        </w:r>
        <w:r w:rsidR="007D69F3">
          <w:rPr>
            <w:webHidden/>
          </w:rPr>
          <w:fldChar w:fldCharType="separate"/>
        </w:r>
        <w:r w:rsidR="007D69F3">
          <w:rPr>
            <w:webHidden/>
          </w:rPr>
          <w:t>9</w:t>
        </w:r>
        <w:r w:rsidR="007D69F3">
          <w:rPr>
            <w:webHidden/>
          </w:rPr>
          <w:fldChar w:fldCharType="end"/>
        </w:r>
      </w:hyperlink>
    </w:p>
    <w:p w:rsidR="004519DA" w:rsidRPr="00AE33FD" w:rsidRDefault="00BA1E39" w:rsidP="004519DA">
      <w:pPr>
        <w:pStyle w:val="Zpat"/>
        <w:tabs>
          <w:tab w:val="clear" w:pos="4536"/>
          <w:tab w:val="clear" w:pos="9072"/>
        </w:tabs>
      </w:pPr>
      <w:r w:rsidRPr="00AE33FD">
        <w:rPr>
          <w:rStyle w:val="Hypertextovodkaz"/>
          <w:b/>
          <w:noProof/>
          <w:szCs w:val="24"/>
        </w:rPr>
        <w:fldChar w:fldCharType="end"/>
      </w:r>
    </w:p>
    <w:p w:rsidR="004519DA" w:rsidRPr="00AE33FD" w:rsidRDefault="004519DA" w:rsidP="004519DA">
      <w:pPr>
        <w:jc w:val="center"/>
        <w:rPr>
          <w:b/>
          <w:bCs/>
          <w:sz w:val="32"/>
          <w:szCs w:val="32"/>
        </w:rPr>
      </w:pPr>
    </w:p>
    <w:p w:rsidR="00CB7468" w:rsidRPr="00AE33FD" w:rsidRDefault="00CB7468" w:rsidP="004519DA">
      <w:pPr>
        <w:jc w:val="center"/>
        <w:rPr>
          <w:b/>
          <w:bCs/>
          <w:sz w:val="32"/>
          <w:szCs w:val="32"/>
        </w:rPr>
      </w:pPr>
    </w:p>
    <w:p w:rsidR="00CB7468" w:rsidRDefault="00CB7468" w:rsidP="004519DA">
      <w:pPr>
        <w:jc w:val="center"/>
        <w:rPr>
          <w:b/>
          <w:bCs/>
          <w:sz w:val="32"/>
          <w:szCs w:val="32"/>
        </w:rPr>
      </w:pPr>
    </w:p>
    <w:p w:rsidR="00AE33FD" w:rsidRDefault="00AE33FD" w:rsidP="004519DA">
      <w:pPr>
        <w:jc w:val="center"/>
        <w:rPr>
          <w:b/>
          <w:bCs/>
          <w:sz w:val="32"/>
          <w:szCs w:val="32"/>
        </w:rPr>
      </w:pPr>
    </w:p>
    <w:p w:rsidR="00AE33FD" w:rsidRDefault="00AE33FD" w:rsidP="004519DA">
      <w:pPr>
        <w:jc w:val="center"/>
        <w:rPr>
          <w:b/>
          <w:bCs/>
          <w:sz w:val="32"/>
          <w:szCs w:val="32"/>
        </w:rPr>
      </w:pPr>
    </w:p>
    <w:p w:rsidR="00AE33FD" w:rsidRDefault="00AE33FD" w:rsidP="004519DA">
      <w:pPr>
        <w:jc w:val="center"/>
        <w:rPr>
          <w:b/>
          <w:bCs/>
          <w:sz w:val="32"/>
          <w:szCs w:val="32"/>
        </w:rPr>
      </w:pPr>
    </w:p>
    <w:p w:rsidR="00AE33FD" w:rsidRDefault="00AE33FD" w:rsidP="004519DA">
      <w:pPr>
        <w:jc w:val="center"/>
        <w:rPr>
          <w:b/>
          <w:bCs/>
          <w:sz w:val="32"/>
          <w:szCs w:val="32"/>
        </w:rPr>
      </w:pPr>
    </w:p>
    <w:p w:rsidR="00AE33FD" w:rsidRDefault="00AE33FD" w:rsidP="004519DA">
      <w:pPr>
        <w:jc w:val="center"/>
        <w:rPr>
          <w:b/>
          <w:bCs/>
          <w:sz w:val="32"/>
          <w:szCs w:val="32"/>
        </w:rPr>
      </w:pPr>
    </w:p>
    <w:p w:rsidR="00AE33FD" w:rsidRPr="00AE33FD" w:rsidRDefault="00AE33FD" w:rsidP="004519DA">
      <w:pPr>
        <w:jc w:val="center"/>
        <w:rPr>
          <w:b/>
          <w:bCs/>
          <w:sz w:val="32"/>
          <w:szCs w:val="32"/>
        </w:rPr>
      </w:pPr>
    </w:p>
    <w:p w:rsidR="00CB7468" w:rsidRPr="00AE33FD" w:rsidRDefault="00CB7468" w:rsidP="004519DA">
      <w:pPr>
        <w:jc w:val="center"/>
        <w:rPr>
          <w:b/>
          <w:bCs/>
          <w:sz w:val="32"/>
          <w:szCs w:val="32"/>
        </w:rPr>
      </w:pPr>
    </w:p>
    <w:p w:rsidR="00CB7468" w:rsidRPr="00AE33FD" w:rsidRDefault="00CB7468" w:rsidP="004519DA">
      <w:pPr>
        <w:jc w:val="center"/>
        <w:rPr>
          <w:b/>
          <w:bCs/>
          <w:sz w:val="32"/>
          <w:szCs w:val="32"/>
        </w:rPr>
      </w:pPr>
    </w:p>
    <w:p w:rsidR="00CB7468" w:rsidRPr="00AE33FD" w:rsidRDefault="00CB7468" w:rsidP="004519DA">
      <w:pPr>
        <w:jc w:val="center"/>
        <w:rPr>
          <w:b/>
          <w:bCs/>
          <w:sz w:val="32"/>
          <w:szCs w:val="32"/>
        </w:rPr>
      </w:pPr>
    </w:p>
    <w:p w:rsidR="004519DA" w:rsidRPr="00AE33FD" w:rsidRDefault="004519DA" w:rsidP="004519DA">
      <w:pPr>
        <w:pStyle w:val="Nadpis2"/>
        <w:numPr>
          <w:ilvl w:val="1"/>
          <w:numId w:val="1"/>
        </w:numPr>
        <w:spacing w:before="120"/>
        <w:rPr>
          <w:color w:val="000000"/>
        </w:rPr>
      </w:pPr>
      <w:bookmarkStart w:id="0" w:name="_Toc520454987"/>
      <w:bookmarkStart w:id="1" w:name="_Toc520457279"/>
      <w:bookmarkStart w:id="2" w:name="_Toc54000710"/>
      <w:bookmarkStart w:id="3" w:name="_Toc56244175"/>
      <w:bookmarkStart w:id="4" w:name="_Toc183235735"/>
      <w:bookmarkStart w:id="5" w:name="_Toc212352768"/>
      <w:bookmarkStart w:id="6" w:name="_Toc42849990"/>
      <w:r w:rsidRPr="00AE33FD">
        <w:rPr>
          <w:color w:val="000000"/>
        </w:rPr>
        <w:t>Identifikační údaje</w:t>
      </w:r>
      <w:bookmarkEnd w:id="0"/>
      <w:bookmarkEnd w:id="1"/>
      <w:bookmarkEnd w:id="2"/>
      <w:bookmarkEnd w:id="3"/>
      <w:bookmarkEnd w:id="4"/>
      <w:bookmarkEnd w:id="5"/>
      <w:bookmarkEnd w:id="6"/>
    </w:p>
    <w:p w:rsidR="00542FBA" w:rsidRPr="00AE33FD" w:rsidRDefault="00542FBA" w:rsidP="00542FBA">
      <w:pPr>
        <w:tabs>
          <w:tab w:val="left" w:pos="3119"/>
        </w:tabs>
        <w:ind w:left="1418" w:hanging="1418"/>
        <w:rPr>
          <w:color w:val="000000"/>
        </w:rPr>
      </w:pPr>
      <w:bookmarkStart w:id="7" w:name="_Toc212352769"/>
      <w:r w:rsidRPr="00AE33FD">
        <w:rPr>
          <w:i/>
          <w:color w:val="000000"/>
        </w:rPr>
        <w:t>Stavba</w:t>
      </w:r>
      <w:r w:rsidRPr="00AE33FD">
        <w:rPr>
          <w:color w:val="000000"/>
        </w:rPr>
        <w:t xml:space="preserve">: </w:t>
      </w:r>
      <w:r w:rsidRPr="00AE33FD">
        <w:rPr>
          <w:color w:val="000000"/>
        </w:rPr>
        <w:tab/>
        <w:t xml:space="preserve">                 </w:t>
      </w:r>
      <w:r w:rsidRPr="00AE33FD">
        <w:rPr>
          <w:color w:val="000000"/>
        </w:rPr>
        <w:tab/>
        <w:t>Rekonstrukce výpravní budovy v žst Písek</w:t>
      </w:r>
    </w:p>
    <w:p w:rsidR="00542FBA" w:rsidRPr="00AE33FD" w:rsidRDefault="00542FBA" w:rsidP="00542FBA">
      <w:pPr>
        <w:tabs>
          <w:tab w:val="left" w:pos="3119"/>
        </w:tabs>
        <w:spacing w:before="20"/>
        <w:ind w:left="3402" w:hanging="3402"/>
        <w:rPr>
          <w:color w:val="000000"/>
        </w:rPr>
      </w:pPr>
      <w:r w:rsidRPr="00AE33FD">
        <w:rPr>
          <w:i/>
          <w:color w:val="000000"/>
        </w:rPr>
        <w:tab/>
      </w:r>
      <w:r w:rsidRPr="00AE33FD">
        <w:rPr>
          <w:color w:val="000000"/>
        </w:rPr>
        <w:t>Pozemní objekty budov</w:t>
      </w:r>
    </w:p>
    <w:p w:rsidR="00542FBA" w:rsidRPr="00AE33FD" w:rsidRDefault="00542FBA" w:rsidP="00542FBA">
      <w:pPr>
        <w:tabs>
          <w:tab w:val="left" w:pos="3119"/>
        </w:tabs>
        <w:spacing w:before="20"/>
        <w:ind w:left="3402" w:hanging="3402"/>
        <w:rPr>
          <w:color w:val="000000"/>
        </w:rPr>
      </w:pPr>
      <w:r w:rsidRPr="00AE33FD">
        <w:rPr>
          <w:i/>
          <w:color w:val="000000"/>
        </w:rPr>
        <w:t xml:space="preserve">Místo stavby: </w:t>
      </w:r>
      <w:r w:rsidRPr="00AE33FD">
        <w:rPr>
          <w:color w:val="000000"/>
        </w:rPr>
        <w:t xml:space="preserve">        </w:t>
      </w:r>
      <w:r w:rsidRPr="00AE33FD">
        <w:rPr>
          <w:color w:val="000000"/>
        </w:rPr>
        <w:tab/>
        <w:t>Hlavní nádraží č.p. 308, 397 01 Písek – Budějovické Předměstí</w:t>
      </w:r>
    </w:p>
    <w:p w:rsidR="00542FBA" w:rsidRPr="00AE33FD" w:rsidRDefault="00542FBA" w:rsidP="00542FBA">
      <w:pPr>
        <w:tabs>
          <w:tab w:val="left" w:pos="3119"/>
        </w:tabs>
        <w:spacing w:before="20"/>
        <w:ind w:left="3402" w:hanging="3402"/>
        <w:rPr>
          <w:color w:val="000000"/>
        </w:rPr>
      </w:pPr>
      <w:r w:rsidRPr="00AE33FD">
        <w:rPr>
          <w:color w:val="000000"/>
        </w:rPr>
        <w:tab/>
        <w:t>parc. č.: st.789, st.1930, st.1588, 1067/1, 2691/1, k.ú. Písek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i/>
          <w:color w:val="000000"/>
        </w:rPr>
        <w:t xml:space="preserve">Investor: </w:t>
      </w:r>
      <w:r w:rsidRPr="00AE33FD">
        <w:rPr>
          <w:color w:val="000000"/>
        </w:rPr>
        <w:tab/>
        <w:t>Správa železni</w:t>
      </w:r>
      <w:r w:rsidR="00AE33FD">
        <w:rPr>
          <w:color w:val="000000"/>
        </w:rPr>
        <w:t>c</w:t>
      </w:r>
      <w:r w:rsidRPr="00AE33FD">
        <w:rPr>
          <w:color w:val="000000"/>
        </w:rPr>
        <w:t>, státní organizace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color w:val="000000"/>
        </w:rPr>
        <w:tab/>
        <w:t>Dlážděná 1003/7, 110 00 Praha 1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i/>
          <w:color w:val="000000"/>
        </w:rPr>
        <w:t>Stupeň dokumentace</w:t>
      </w:r>
      <w:r w:rsidRPr="00AE33FD">
        <w:rPr>
          <w:color w:val="000000"/>
        </w:rPr>
        <w:t xml:space="preserve">: </w:t>
      </w:r>
      <w:r w:rsidRPr="00AE33FD">
        <w:rPr>
          <w:color w:val="000000"/>
        </w:rPr>
        <w:tab/>
      </w:r>
      <w:r w:rsidR="00BE04DF">
        <w:rPr>
          <w:color w:val="000000"/>
        </w:rPr>
        <w:t>P</w:t>
      </w:r>
      <w:r w:rsidR="00AE33FD" w:rsidRPr="00AE33FD">
        <w:rPr>
          <w:color w:val="000000"/>
        </w:rPr>
        <w:t>DPS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i/>
          <w:color w:val="000000"/>
        </w:rPr>
        <w:t>Část dokumentace:</w:t>
      </w:r>
      <w:r w:rsidRPr="00AE33FD">
        <w:rPr>
          <w:color w:val="000000"/>
        </w:rPr>
        <w:t xml:space="preserve"> </w:t>
      </w:r>
      <w:r w:rsidRPr="00AE33FD">
        <w:rPr>
          <w:color w:val="000000"/>
        </w:rPr>
        <w:tab/>
      </w:r>
      <w:r w:rsidR="00E806B0">
        <w:rPr>
          <w:color w:val="000000"/>
        </w:rPr>
        <w:t>E.2.1</w:t>
      </w:r>
      <w:r w:rsidR="00F70965" w:rsidRPr="00F70965">
        <w:rPr>
          <w:color w:val="000000"/>
        </w:rPr>
        <w:t xml:space="preserve"> - S</w:t>
      </w:r>
      <w:r w:rsidR="00F70965">
        <w:rPr>
          <w:color w:val="000000"/>
        </w:rPr>
        <w:t>tatika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i/>
          <w:color w:val="000000"/>
        </w:rPr>
        <w:t>Projektant:</w:t>
      </w:r>
      <w:r w:rsidRPr="00AE33FD">
        <w:rPr>
          <w:color w:val="000000"/>
        </w:rPr>
        <w:t xml:space="preserve"> </w:t>
      </w:r>
      <w:r w:rsidRPr="00AE33FD">
        <w:rPr>
          <w:color w:val="000000"/>
        </w:rPr>
        <w:tab/>
        <w:t>Aprea s.r.o., Ing. Petr Legner, Ing. arch. Lukáš Stříteský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color w:val="000000"/>
        </w:rPr>
        <w:tab/>
        <w:t>Ocelářská 35/1354, 190 00 Praha 9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i/>
          <w:color w:val="000000"/>
        </w:rPr>
        <w:t>Projektant části:</w:t>
      </w:r>
      <w:r w:rsidRPr="00AE33FD">
        <w:rPr>
          <w:color w:val="000000"/>
        </w:rPr>
        <w:t xml:space="preserve"> </w:t>
      </w:r>
      <w:r w:rsidRPr="00AE33FD">
        <w:rPr>
          <w:color w:val="000000"/>
        </w:rPr>
        <w:tab/>
        <w:t>Ing. Michal Kubalík – statika pozemních staveb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color w:val="000000"/>
        </w:rPr>
        <w:tab/>
        <w:t>Jarníkova 1872/20, 148 00 Praha 4 - Chodov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color w:val="000000"/>
        </w:rPr>
        <w:tab/>
        <w:t>tel.: 777 891 331, e-mail: michalkubalik@seznam.cz</w:t>
      </w:r>
    </w:p>
    <w:p w:rsidR="00542FBA" w:rsidRPr="00AE33FD" w:rsidRDefault="00542FBA" w:rsidP="00542FBA">
      <w:pPr>
        <w:tabs>
          <w:tab w:val="left" w:pos="3119"/>
        </w:tabs>
        <w:spacing w:before="20"/>
        <w:ind w:firstLine="0"/>
        <w:rPr>
          <w:color w:val="000000"/>
        </w:rPr>
      </w:pPr>
      <w:r w:rsidRPr="00AE33FD">
        <w:rPr>
          <w:i/>
          <w:color w:val="000000"/>
        </w:rPr>
        <w:t>Datum zpracování:</w:t>
      </w:r>
      <w:r w:rsidRPr="00AE33FD">
        <w:rPr>
          <w:color w:val="000000"/>
        </w:rPr>
        <w:t xml:space="preserve"> </w:t>
      </w:r>
      <w:r w:rsidRPr="00AE33FD">
        <w:rPr>
          <w:color w:val="000000"/>
        </w:rPr>
        <w:tab/>
      </w:r>
      <w:r w:rsidR="00CD1653">
        <w:rPr>
          <w:color w:val="000000"/>
        </w:rPr>
        <w:t>6/</w:t>
      </w:r>
      <w:r w:rsidRPr="00AE33FD">
        <w:rPr>
          <w:color w:val="000000"/>
        </w:rPr>
        <w:t>20</w:t>
      </w:r>
      <w:r w:rsidR="00AE33FD">
        <w:rPr>
          <w:color w:val="000000"/>
        </w:rPr>
        <w:t>20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8" w:name="_Toc42849991"/>
      <w:r w:rsidRPr="00AE33FD">
        <w:rPr>
          <w:color w:val="000000"/>
        </w:rPr>
        <w:t>Předmět projektu</w:t>
      </w:r>
      <w:bookmarkEnd w:id="7"/>
      <w:bookmarkEnd w:id="8"/>
    </w:p>
    <w:p w:rsidR="003D4DD5" w:rsidRPr="00AE33FD" w:rsidRDefault="003D4DD5" w:rsidP="003D4DD5">
      <w:r w:rsidRPr="00AE33FD">
        <w:t xml:space="preserve">Předmětem tohoto projektu je návrh nových a úprav stávajících nosných konstrukcí pro rekonstrukci objektu. Konstrukce jsou popsány touto technickou zprávou, výkresově dokumentovány částečně ve výkresové části tohoto projektu a částečně ve stavební části projektu a navrženy a posouzeny na základě statického </w:t>
      </w:r>
      <w:r w:rsidR="006B00B1" w:rsidRPr="00AE33FD">
        <w:t>posouzení</w:t>
      </w:r>
      <w:r w:rsidRPr="00AE33FD">
        <w:t xml:space="preserve">. </w:t>
      </w:r>
    </w:p>
    <w:p w:rsidR="003D4DD5" w:rsidRPr="00AE33FD" w:rsidRDefault="003D4DD5" w:rsidP="00EE0366">
      <w:pPr>
        <w:spacing w:before="60" w:after="60"/>
        <w:rPr>
          <w:b/>
          <w:bCs/>
          <w:szCs w:val="24"/>
        </w:rPr>
      </w:pPr>
      <w:r w:rsidRPr="00AE33FD">
        <w:rPr>
          <w:b/>
          <w:bCs/>
          <w:szCs w:val="24"/>
        </w:rPr>
        <w:t>V objektu byly provedeny omezené průzkumné sondy stávajících nosných konstrukcí, proto během provádění při odhalení konstrukce</w:t>
      </w:r>
      <w:r w:rsidR="00EE0366" w:rsidRPr="00AE33FD">
        <w:rPr>
          <w:b/>
          <w:bCs/>
          <w:szCs w:val="24"/>
        </w:rPr>
        <w:t>,</w:t>
      </w:r>
      <w:r w:rsidRPr="00AE33FD">
        <w:rPr>
          <w:b/>
          <w:bCs/>
          <w:szCs w:val="24"/>
        </w:rPr>
        <w:t xml:space="preserve"> může dojít k jinému způsobu řešení nebo opatření!</w:t>
      </w:r>
    </w:p>
    <w:p w:rsidR="00EE0366" w:rsidRPr="00AE33FD" w:rsidRDefault="00EE0366" w:rsidP="00EE0366">
      <w:r w:rsidRPr="00AE33FD">
        <w:rPr>
          <w:b/>
          <w:bCs/>
        </w:rPr>
        <w:t>Pokud budou při realizaci zjištěny významnější trhliny nebo jiné skutečnosti, jež by mohly mít vliv na stabilitu a bezpečnost, je třeba povolat autorizovanou osobu k provedení průzkumu a přehodnocení stavu konstrukce.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</w:pPr>
      <w:bookmarkStart w:id="9" w:name="_Toc520454988"/>
      <w:bookmarkStart w:id="10" w:name="_Toc520457280"/>
      <w:bookmarkStart w:id="11" w:name="_Toc54000711"/>
      <w:bookmarkStart w:id="12" w:name="_Toc56244176"/>
      <w:bookmarkStart w:id="13" w:name="_Toc183235736"/>
      <w:bookmarkStart w:id="14" w:name="_Toc212352770"/>
      <w:bookmarkStart w:id="15" w:name="_Toc42849992"/>
      <w:r w:rsidRPr="00AE33FD">
        <w:t>Podklady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4519DA" w:rsidRPr="00AE33FD" w:rsidRDefault="004519DA" w:rsidP="004519DA">
      <w:pPr>
        <w:pStyle w:val="Nadpis3"/>
        <w:numPr>
          <w:ilvl w:val="2"/>
          <w:numId w:val="1"/>
        </w:numPr>
        <w:spacing w:before="0"/>
        <w:ind w:left="709" w:hanging="709"/>
      </w:pPr>
      <w:bookmarkStart w:id="16" w:name="_Toc54000712"/>
      <w:bookmarkStart w:id="17" w:name="_Toc56244177"/>
      <w:bookmarkStart w:id="18" w:name="_Toc183235737"/>
      <w:bookmarkStart w:id="19" w:name="_Toc212352771"/>
      <w:bookmarkStart w:id="20" w:name="_Toc42849993"/>
      <w:r w:rsidRPr="00AE33FD">
        <w:t>Projektové podklady</w:t>
      </w:r>
      <w:bookmarkEnd w:id="16"/>
      <w:bookmarkEnd w:id="17"/>
      <w:bookmarkEnd w:id="18"/>
      <w:bookmarkEnd w:id="19"/>
      <w:bookmarkEnd w:id="20"/>
    </w:p>
    <w:p w:rsidR="004519DA" w:rsidRPr="00AE33FD" w:rsidRDefault="00260DE9" w:rsidP="00260DE9">
      <w:pPr>
        <w:numPr>
          <w:ilvl w:val="0"/>
          <w:numId w:val="5"/>
        </w:numPr>
      </w:pPr>
      <w:r w:rsidRPr="00AE33FD">
        <w:t xml:space="preserve">rozpracovaná stavební část projektu, Aprea s.r.o., Ing. Petr Legner, Ing. arch. Lukáš Stříteský, Ocelářská 35/1354, 190 00 Praha 9, </w:t>
      </w:r>
      <w:r w:rsidR="002929CA">
        <w:t>květen</w:t>
      </w:r>
      <w:r w:rsidRPr="00AE33FD">
        <w:t xml:space="preserve"> 20</w:t>
      </w:r>
      <w:r w:rsidR="00AE33FD">
        <w:t>20</w:t>
      </w:r>
    </w:p>
    <w:p w:rsidR="004519DA" w:rsidRPr="00AE33FD" w:rsidRDefault="004519DA" w:rsidP="004519DA">
      <w:pPr>
        <w:pStyle w:val="Nadpis3"/>
        <w:numPr>
          <w:ilvl w:val="2"/>
          <w:numId w:val="1"/>
        </w:numPr>
        <w:spacing w:before="180"/>
        <w:ind w:left="709" w:hanging="709"/>
      </w:pPr>
      <w:bookmarkStart w:id="21" w:name="_Toc42849994"/>
      <w:r w:rsidRPr="00AE33FD">
        <w:t>Průzkumy</w:t>
      </w:r>
      <w:bookmarkEnd w:id="21"/>
    </w:p>
    <w:p w:rsidR="004519DA" w:rsidRPr="00AE33FD" w:rsidRDefault="004519DA" w:rsidP="004519DA">
      <w:pPr>
        <w:numPr>
          <w:ilvl w:val="0"/>
          <w:numId w:val="5"/>
        </w:numPr>
      </w:pPr>
      <w:r w:rsidRPr="00AE33FD">
        <w:t xml:space="preserve">osobní prohlídka na místě, </w:t>
      </w:r>
      <w:r w:rsidR="00260DE9" w:rsidRPr="00AE33FD">
        <w:t xml:space="preserve">únor </w:t>
      </w:r>
      <w:r w:rsidR="00022BDB" w:rsidRPr="00AE33FD">
        <w:t>201</w:t>
      </w:r>
      <w:r w:rsidR="00CD147E" w:rsidRPr="00AE33FD">
        <w:t>8</w:t>
      </w:r>
    </w:p>
    <w:p w:rsidR="0094431F" w:rsidRPr="00AE33FD" w:rsidRDefault="00CA31A4" w:rsidP="004519DA">
      <w:pPr>
        <w:numPr>
          <w:ilvl w:val="0"/>
          <w:numId w:val="5"/>
        </w:numPr>
      </w:pPr>
      <w:r w:rsidRPr="00AE33FD">
        <w:t>Odborný posudek, Zhodnocení bi</w:t>
      </w:r>
      <w:r w:rsidR="004F4995" w:rsidRPr="00AE33FD">
        <w:t>o</w:t>
      </w:r>
      <w:r w:rsidRPr="00AE33FD">
        <w:t xml:space="preserve">logického napadení konstrukce krovu, žst Písek, </w:t>
      </w:r>
      <w:r w:rsidRPr="00AE33FD">
        <w:rPr>
          <w:color w:val="000000"/>
        </w:rPr>
        <w:t>Hlavní nádraží č.p. 308, 397 01 Písek – Budějovické Předměstí,</w:t>
      </w:r>
      <w:r w:rsidRPr="00AE33FD">
        <w:t xml:space="preserve"> Ing. Jakub Lukavec, Atelier DEK, Tiskařská 10, Praha 10, březen 2018</w:t>
      </w:r>
    </w:p>
    <w:p w:rsidR="004519DA" w:rsidRPr="00AE33FD" w:rsidRDefault="004519DA" w:rsidP="004519DA">
      <w:pPr>
        <w:pStyle w:val="Nadpis3"/>
        <w:numPr>
          <w:ilvl w:val="2"/>
          <w:numId w:val="1"/>
        </w:numPr>
        <w:spacing w:before="180"/>
        <w:ind w:left="709" w:hanging="709"/>
      </w:pPr>
      <w:bookmarkStart w:id="22" w:name="_Toc54000713"/>
      <w:bookmarkStart w:id="23" w:name="_Toc56244178"/>
      <w:bookmarkStart w:id="24" w:name="_Toc183235738"/>
      <w:bookmarkStart w:id="25" w:name="_Toc212352772"/>
      <w:bookmarkStart w:id="26" w:name="_Toc42849995"/>
      <w:r w:rsidRPr="00AE33FD">
        <w:t>Normy navrhování</w:t>
      </w:r>
      <w:bookmarkEnd w:id="22"/>
      <w:bookmarkEnd w:id="23"/>
      <w:bookmarkEnd w:id="24"/>
      <w:bookmarkEnd w:id="25"/>
      <w:bookmarkEnd w:id="26"/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1990</w:t>
      </w:r>
      <w:r w:rsidRPr="00AE33FD">
        <w:tab/>
        <w:t>Zásady navrhování konstrukcí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1991-1-1</w:t>
      </w:r>
      <w:r w:rsidRPr="00AE33FD">
        <w:tab/>
        <w:t>Zatížení konstrukcí, Část 1-1: Obecná zatížení – objemové tíhy, vlastní tíha a užitná zatížení pozemních staveb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1991-1-3</w:t>
      </w:r>
      <w:r w:rsidRPr="00AE33FD">
        <w:tab/>
        <w:t>Zatížení konstrukcí, Část 1-3: Obecná zatížení – Zatížení sněhem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1991-1-4</w:t>
      </w:r>
      <w:r w:rsidRPr="00AE33FD">
        <w:tab/>
        <w:t>Zatížení konstrukcí, Část 1-4: Obecná zatížení – Zatížení větrem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lastRenderedPageBreak/>
        <w:t>ČSN EN 1992-1-1</w:t>
      </w:r>
      <w:r w:rsidRPr="00AE33FD">
        <w:tab/>
        <w:t>Navrhování betonových konstrukcí – Část 1-1: Obecná pravidla a pravidla pro pozemní stavby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1993-1-1</w:t>
      </w:r>
      <w:r w:rsidRPr="00AE33FD">
        <w:tab/>
        <w:t>Navrhování ocelových konstrukcí, Část 1-1: Obecná pravidla pro pozemní stavby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1993-1-8</w:t>
      </w:r>
      <w:r w:rsidRPr="00AE33FD">
        <w:tab/>
        <w:t>Navrhování ocelových konstrukcí, Část 1-8: Navrhování styčníků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1995-1-1</w:t>
      </w:r>
      <w:r w:rsidRPr="00AE33FD">
        <w:tab/>
        <w:t>Navrhování dřevěných konstrukcí, Část 1-1: Obecná pravidla – Společná pravidla a pravidla pro pozemní stavby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1996-1-1</w:t>
      </w:r>
      <w:r w:rsidRPr="00AE33FD">
        <w:tab/>
        <w:t>Navrhování zděných konstrukcí, Část 1-1: Obecná pravidla pro pozemní stavby – Pravidla pro vyztužené a nevyztužené zděné konstrukce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1998-1</w:t>
      </w:r>
      <w:r w:rsidRPr="00AE33FD">
        <w:tab/>
        <w:t>Navrhování konstrukcí odolných proti zemětřesení – Část 1: Obecná pravidla, seizmická zatížení a pravidla pro pozemní stavby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206</w:t>
      </w:r>
      <w:r w:rsidRPr="00AE33FD">
        <w:tab/>
        <w:t>Beton – Specifikace, vlastnosti, výroba a shoda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10080</w:t>
      </w:r>
      <w:r w:rsidRPr="00AE33FD">
        <w:tab/>
        <w:t>Ocel pro výztuž do betonu – Svařitelná betonářská ocel - Všeobecně</w:t>
      </w:r>
    </w:p>
    <w:p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bookmarkStart w:id="27" w:name="_Toc54000714"/>
      <w:bookmarkStart w:id="28" w:name="_Toc56244179"/>
      <w:bookmarkStart w:id="29" w:name="_Toc183235739"/>
      <w:bookmarkStart w:id="30" w:name="_Toc212352773"/>
      <w:r w:rsidRPr="00AE33FD">
        <w:t>ČSN EN 338</w:t>
      </w:r>
      <w:r w:rsidRPr="00AE33FD">
        <w:tab/>
        <w:t>Konstrukční dřevo – Třídy pevnosti</w:t>
      </w:r>
    </w:p>
    <w:p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r w:rsidRPr="00AE33FD">
        <w:t>ČSN EN 1194</w:t>
      </w:r>
      <w:r w:rsidRPr="00AE33FD">
        <w:tab/>
        <w:t>Dřevěné konstrukce – Lepené lamelové dřevo – Třídy pevnosti a stanovení charakteristických hodnot</w:t>
      </w:r>
    </w:p>
    <w:p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r w:rsidRPr="00AE33FD">
        <w:t>ČSN 73 1701</w:t>
      </w:r>
      <w:r w:rsidRPr="00AE33FD">
        <w:tab/>
        <w:t>Navrhování dřevěných stavebních konstrukcí</w:t>
      </w:r>
    </w:p>
    <w:p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r w:rsidRPr="00AE33FD">
        <w:t>ČSN ISO 13822</w:t>
      </w:r>
      <w:r w:rsidRPr="00AE33FD">
        <w:tab/>
        <w:t>Zásady navrhování konstrukcí – Hodnocení existujících konstrukcí</w:t>
      </w:r>
    </w:p>
    <w:p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r w:rsidRPr="00AE33FD">
        <w:t>ČSN ISO 2394</w:t>
      </w:r>
      <w:r w:rsidRPr="00AE33FD">
        <w:tab/>
        <w:t>Obecné zásady spolehlivosti konstrukcí</w:t>
      </w:r>
    </w:p>
    <w:p w:rsidR="004519DA" w:rsidRPr="00AE33FD" w:rsidRDefault="004519DA" w:rsidP="004519DA">
      <w:pPr>
        <w:pStyle w:val="Nadpis3"/>
        <w:numPr>
          <w:ilvl w:val="2"/>
          <w:numId w:val="1"/>
        </w:numPr>
        <w:spacing w:before="180"/>
        <w:ind w:left="709" w:hanging="709"/>
      </w:pPr>
      <w:bookmarkStart w:id="31" w:name="_Toc42849996"/>
      <w:r w:rsidRPr="00AE33FD">
        <w:t>Další použité pomůcky</w:t>
      </w:r>
      <w:bookmarkEnd w:id="27"/>
      <w:bookmarkEnd w:id="28"/>
      <w:bookmarkEnd w:id="29"/>
      <w:bookmarkEnd w:id="30"/>
      <w:bookmarkEnd w:id="31"/>
    </w:p>
    <w:p w:rsidR="004519DA" w:rsidRPr="00AE33FD" w:rsidRDefault="004519DA" w:rsidP="004519DA">
      <w:pPr>
        <w:widowControl w:val="0"/>
        <w:numPr>
          <w:ilvl w:val="0"/>
          <w:numId w:val="5"/>
        </w:numPr>
      </w:pPr>
      <w:bookmarkStart w:id="32" w:name="OLE_LINK8"/>
      <w:r w:rsidRPr="00AE33FD">
        <w:t>TP 51 J. Hořejší, J. Šafka: Statické tabulky, SNTL, Praha 1987</w:t>
      </w:r>
    </w:p>
    <w:bookmarkEnd w:id="32"/>
    <w:p w:rsidR="004519DA" w:rsidRPr="00AE33FD" w:rsidRDefault="004519DA" w:rsidP="004519DA">
      <w:pPr>
        <w:widowControl w:val="0"/>
        <w:numPr>
          <w:ilvl w:val="0"/>
          <w:numId w:val="5"/>
        </w:numPr>
      </w:pPr>
      <w:r w:rsidRPr="00AE33FD">
        <w:t>Studnička, Wald: Ocelové konstrukce - Ocelářské tabulky, Vydavatelství ČVUT, Praha, 1996</w:t>
      </w:r>
    </w:p>
    <w:p w:rsidR="00780E63" w:rsidRPr="00AE33FD" w:rsidRDefault="00780E63" w:rsidP="004519DA">
      <w:pPr>
        <w:widowControl w:val="0"/>
        <w:numPr>
          <w:ilvl w:val="0"/>
          <w:numId w:val="5"/>
        </w:numPr>
      </w:pPr>
      <w:r w:rsidRPr="00AE33FD">
        <w:t>www.snehovamapa.cz, Digitální mapa zatížení sněhem na zemi, Český hydrometeorologický ústav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33" w:name="_Toc212352775"/>
      <w:bookmarkStart w:id="34" w:name="_Toc42849997"/>
      <w:r w:rsidRPr="00AE33FD">
        <w:rPr>
          <w:color w:val="000000"/>
        </w:rPr>
        <w:t>Zatížení</w:t>
      </w:r>
      <w:bookmarkEnd w:id="33"/>
      <w:bookmarkEnd w:id="34"/>
    </w:p>
    <w:p w:rsidR="004519DA" w:rsidRPr="00AE33FD" w:rsidRDefault="004519DA" w:rsidP="004519DA">
      <w:pPr>
        <w:spacing w:line="288" w:lineRule="auto"/>
        <w:ind w:left="284" w:firstLine="0"/>
        <w:rPr>
          <w:b/>
        </w:rPr>
      </w:pPr>
      <w:bookmarkStart w:id="35" w:name="_Toc115240297"/>
      <w:bookmarkStart w:id="36" w:name="_Toc147802443"/>
      <w:bookmarkStart w:id="37" w:name="_Toc183235741"/>
      <w:bookmarkStart w:id="38" w:name="_Toc212352776"/>
      <w:bookmarkStart w:id="39" w:name="_Toc520454989"/>
      <w:bookmarkStart w:id="40" w:name="_Toc520457281"/>
      <w:bookmarkStart w:id="41" w:name="_Toc54000716"/>
      <w:bookmarkStart w:id="42" w:name="_Toc56244181"/>
      <w:bookmarkStart w:id="43" w:name="_Toc141848468"/>
      <w:bookmarkStart w:id="44" w:name="_Toc183235740"/>
      <w:r w:rsidRPr="00AE33FD">
        <w:rPr>
          <w:b/>
        </w:rPr>
        <w:t>Užitné zatížení:</w:t>
      </w:r>
    </w:p>
    <w:p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obytné plochy</w:t>
      </w:r>
      <w:r w:rsidRPr="00AE33FD">
        <w:tab/>
        <w:t>1,50 kN/m²</w:t>
      </w:r>
    </w:p>
    <w:p w:rsidR="00A469AE" w:rsidRPr="00AE33FD" w:rsidRDefault="00A469AE" w:rsidP="00A469AE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kancelářské plochy</w:t>
      </w:r>
      <w:r w:rsidRPr="00AE33FD">
        <w:tab/>
        <w:t>2,50 kN/m²</w:t>
      </w:r>
    </w:p>
    <w:p w:rsidR="00E90C4C" w:rsidRPr="00AE33FD" w:rsidRDefault="00E90C4C" w:rsidP="00A469AE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přístupová plocha veřejné budovy, kategorie C3</w:t>
      </w:r>
      <w:r w:rsidRPr="00AE33FD">
        <w:tab/>
        <w:t>5,00 kN/m²</w:t>
      </w:r>
    </w:p>
    <w:p w:rsidR="00A469AE" w:rsidRPr="00AE33FD" w:rsidRDefault="00A469AE" w:rsidP="00A469AE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půdní prostor</w:t>
      </w:r>
      <w:r w:rsidRPr="00AE33FD">
        <w:tab/>
        <w:t>1,00 kN/m²</w:t>
      </w:r>
    </w:p>
    <w:p w:rsidR="003F7ECE" w:rsidRPr="00AE33FD" w:rsidRDefault="003F7ECE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nepřístupné střechy</w:t>
      </w:r>
      <w:r w:rsidRPr="00AE33FD">
        <w:tab/>
        <w:t>0,75 kN/m²</w:t>
      </w:r>
    </w:p>
    <w:p w:rsidR="004519DA" w:rsidRPr="00AE33FD" w:rsidRDefault="004519DA" w:rsidP="004519DA">
      <w:pPr>
        <w:spacing w:line="288" w:lineRule="auto"/>
        <w:ind w:left="284" w:firstLine="0"/>
        <w:rPr>
          <w:b/>
        </w:rPr>
      </w:pPr>
      <w:r w:rsidRPr="00AE33FD">
        <w:rPr>
          <w:b/>
        </w:rPr>
        <w:t>Klimatické zatížení:</w:t>
      </w:r>
    </w:p>
    <w:p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charakteristická hodnota pro sníh na zemi</w:t>
      </w:r>
      <w:r w:rsidR="007D34FF" w:rsidRPr="00AE33FD">
        <w:t xml:space="preserve"> dle www.snehovamapa.cz</w:t>
      </w:r>
      <w:r w:rsidRPr="00AE33FD">
        <w:tab/>
      </w:r>
      <w:r w:rsidR="007D34FF" w:rsidRPr="00AE33FD">
        <w:t>0</w:t>
      </w:r>
      <w:r w:rsidRPr="00AE33FD">
        <w:t>,</w:t>
      </w:r>
      <w:r w:rsidR="007D34FF" w:rsidRPr="00AE33FD">
        <w:t>6</w:t>
      </w:r>
      <w:r w:rsidR="00553300" w:rsidRPr="00AE33FD">
        <w:t>1</w:t>
      </w:r>
      <w:r w:rsidRPr="00AE33FD">
        <w:t xml:space="preserve"> kN/m²</w:t>
      </w:r>
    </w:p>
    <w:p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větr</w:t>
      </w:r>
      <w:r w:rsidR="00D047E6" w:rsidRPr="00AE33FD">
        <w:t>n</w:t>
      </w:r>
      <w:r w:rsidRPr="00AE33FD">
        <w:t>á oblast II (základní rychlost)</w:t>
      </w:r>
      <w:r w:rsidRPr="00AE33FD">
        <w:tab/>
        <w:t>25,0</w:t>
      </w:r>
      <w:r w:rsidR="00787104" w:rsidRPr="00AE33FD">
        <w:t xml:space="preserve"> </w:t>
      </w:r>
      <w:r w:rsidRPr="00AE33FD">
        <w:t>m/s</w:t>
      </w:r>
    </w:p>
    <w:p w:rsidR="004519DA" w:rsidRPr="00AE33FD" w:rsidRDefault="004519DA" w:rsidP="004519DA">
      <w:pPr>
        <w:spacing w:line="288" w:lineRule="auto"/>
        <w:ind w:left="284" w:firstLine="0"/>
        <w:rPr>
          <w:b/>
        </w:rPr>
      </w:pPr>
      <w:r w:rsidRPr="00AE33FD">
        <w:rPr>
          <w:b/>
        </w:rPr>
        <w:t>Seizmické zatížení:</w:t>
      </w:r>
    </w:p>
    <w:p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 xml:space="preserve">referenční špičkové zrychlení </w:t>
      </w:r>
      <w:r w:rsidRPr="00AE33FD">
        <w:tab/>
        <w:t>a</w:t>
      </w:r>
      <w:r w:rsidRPr="00AE33FD">
        <w:rPr>
          <w:szCs w:val="24"/>
          <w:vertAlign w:val="subscript"/>
        </w:rPr>
        <w:t>gr</w:t>
      </w:r>
      <w:r w:rsidRPr="00AE33FD">
        <w:t xml:space="preserve"> &lt; 0,04g</w:t>
      </w:r>
    </w:p>
    <w:p w:rsidR="004519DA" w:rsidRDefault="004519DA" w:rsidP="004519DA">
      <w:pPr>
        <w:spacing w:line="288" w:lineRule="auto"/>
        <w:ind w:left="993" w:firstLine="0"/>
      </w:pPr>
      <w:r w:rsidRPr="00AE33FD">
        <w:t xml:space="preserve">Hodnota součinu agS je menší než 0,05g. Jedná se o případ velmi </w:t>
      </w:r>
      <w:smartTag w:uri="urn:schemas-microsoft-com:office:smarttags" w:element="PersonName">
        <w:r w:rsidRPr="00AE33FD">
          <w:t>ma</w:t>
        </w:r>
      </w:smartTag>
      <w:r w:rsidRPr="00AE33FD">
        <w:t>lé seizmicity, kdy není třeba dodržovat ustanovení ČSN EN 1998.</w:t>
      </w:r>
    </w:p>
    <w:p w:rsidR="00AF338C" w:rsidRPr="00AE33FD" w:rsidRDefault="00AF338C" w:rsidP="004519DA">
      <w:pPr>
        <w:pStyle w:val="Nadpis2"/>
        <w:numPr>
          <w:ilvl w:val="1"/>
          <w:numId w:val="1"/>
        </w:numPr>
      </w:pPr>
      <w:bookmarkStart w:id="45" w:name="_Toc497901628"/>
      <w:bookmarkStart w:id="46" w:name="_Toc42849998"/>
      <w:bookmarkStart w:id="47" w:name="_Toc322778422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AE33FD">
        <w:t>Popis stávajícího objektu</w:t>
      </w:r>
      <w:bookmarkEnd w:id="45"/>
      <w:bookmarkEnd w:id="46"/>
    </w:p>
    <w:p w:rsidR="00033631" w:rsidRPr="00AE33FD" w:rsidRDefault="00CC18D9" w:rsidP="00AF338C">
      <w:r w:rsidRPr="00AE33FD">
        <w:lastRenderedPageBreak/>
        <w:t xml:space="preserve">Stávající objekt výpravní budovy má </w:t>
      </w:r>
      <w:r w:rsidR="00BF5BC4" w:rsidRPr="00AE33FD">
        <w:t>dvě nadzemní</w:t>
      </w:r>
      <w:r w:rsidRPr="00AE33FD">
        <w:t xml:space="preserve"> podlaží</w:t>
      </w:r>
      <w:r w:rsidR="00BF5BC4" w:rsidRPr="00AE33FD">
        <w:t>, nevyužívané podkroví (půdní prostor)</w:t>
      </w:r>
      <w:r w:rsidRPr="00AE33FD">
        <w:t xml:space="preserve"> a </w:t>
      </w:r>
      <w:r w:rsidR="00400286" w:rsidRPr="00AE33FD">
        <w:t>je částečně podsklepený (1.PP).</w:t>
      </w:r>
      <w:r w:rsidR="0081443E" w:rsidRPr="00AE33FD">
        <w:t xml:space="preserve"> Jednotlivá patra jsou spojena </w:t>
      </w:r>
      <w:r w:rsidR="00320634" w:rsidRPr="00AE33FD">
        <w:t>jednoramennými točenými</w:t>
      </w:r>
      <w:r w:rsidR="0081443E" w:rsidRPr="00AE33FD">
        <w:t xml:space="preserve"> schodiš</w:t>
      </w:r>
      <w:r w:rsidR="00BF5BC4" w:rsidRPr="00AE33FD">
        <w:t>ti</w:t>
      </w:r>
      <w:r w:rsidR="0081443E" w:rsidRPr="00AE33FD">
        <w:t>.</w:t>
      </w:r>
      <w:r w:rsidR="00AC2CAD" w:rsidRPr="00AE33FD">
        <w:t xml:space="preserve"> Tvar střechy je sedlový</w:t>
      </w:r>
      <w:r w:rsidR="003023AE" w:rsidRPr="00AE33FD">
        <w:t xml:space="preserve"> s</w:t>
      </w:r>
      <w:r w:rsidR="005D7F49" w:rsidRPr="00AE33FD">
        <w:t>e</w:t>
      </w:r>
      <w:r w:rsidR="003023AE" w:rsidRPr="00AE33FD">
        <w:t xml:space="preserve"> dvěma </w:t>
      </w:r>
      <w:r w:rsidR="005D7F49" w:rsidRPr="00AE33FD">
        <w:t>v</w:t>
      </w:r>
      <w:r w:rsidR="003023AE" w:rsidRPr="00AE33FD">
        <w:t>ikýři.</w:t>
      </w:r>
      <w:r w:rsidR="00CE623D" w:rsidRPr="00AE33FD">
        <w:t xml:space="preserve"> </w:t>
      </w:r>
    </w:p>
    <w:p w:rsidR="00AF338C" w:rsidRPr="00AE33FD" w:rsidRDefault="00CE623D" w:rsidP="00AF338C">
      <w:r w:rsidRPr="00AE33FD">
        <w:t>Na hlavní výpravní budovu navazují jednopodlažní stavby a přístřešek zastřešení nástupiště (viz samostatná část dokumentace).</w:t>
      </w:r>
    </w:p>
    <w:p w:rsidR="00EA0755" w:rsidRPr="00AE33FD" w:rsidRDefault="00CE623D" w:rsidP="00AF338C">
      <w:r w:rsidRPr="00AE33FD">
        <w:t xml:space="preserve">Stěny </w:t>
      </w:r>
      <w:r w:rsidR="00CC6910" w:rsidRPr="00AE33FD">
        <w:t xml:space="preserve">objektu jsou zděné z plných cihel. </w:t>
      </w:r>
      <w:r w:rsidR="003537E6" w:rsidRPr="00AE33FD">
        <w:t xml:space="preserve">Stropy nad 1.PP jsou klenbové z plných cihel. </w:t>
      </w:r>
      <w:r w:rsidR="00243789" w:rsidRPr="00AE33FD">
        <w:t xml:space="preserve">Stropy nad 1.NP a nad 2.NP jsou dřevěné trámové. </w:t>
      </w:r>
      <w:r w:rsidR="00C46004" w:rsidRPr="00AE33FD">
        <w:t>Konstrukce střechy je tvořena dřevěným krovem.</w:t>
      </w:r>
    </w:p>
    <w:p w:rsidR="00C17FB8" w:rsidRPr="00AE33FD" w:rsidRDefault="00C17FB8" w:rsidP="00C17FB8">
      <w:pPr>
        <w:pStyle w:val="Nadpis2"/>
        <w:numPr>
          <w:ilvl w:val="1"/>
          <w:numId w:val="1"/>
        </w:numPr>
      </w:pPr>
      <w:bookmarkStart w:id="48" w:name="_Toc497901629"/>
      <w:bookmarkStart w:id="49" w:name="_Toc42849999"/>
      <w:bookmarkEnd w:id="47"/>
      <w:r w:rsidRPr="00AE33FD">
        <w:t>Obecný popis stavebních úprav</w:t>
      </w:r>
      <w:bookmarkEnd w:id="48"/>
      <w:bookmarkEnd w:id="49"/>
    </w:p>
    <w:p w:rsidR="007846FE" w:rsidRPr="00AE33FD" w:rsidRDefault="007846FE" w:rsidP="007846FE">
      <w:r w:rsidRPr="00AE33FD">
        <w:t>V rámci stavebních úprav bude s ohledem na posudek biologického napadení kompletně odstraněn stávající krov, který bude nahrazen novou konstrukcí. Původní tvar střechy bude zachován.</w:t>
      </w:r>
    </w:p>
    <w:p w:rsidR="007846FE" w:rsidRPr="00AE33FD" w:rsidRDefault="007846FE" w:rsidP="007846FE">
      <w:r w:rsidRPr="00AE33FD">
        <w:t>Dále budou vyměněna podlahová souvrství (bez přitížení stávajících stropů) a proběhnou částečné změny dispozic (bourání nebo dozdění částí stávajících nenosných příček a bourání otvorů v nosných stěnách).</w:t>
      </w:r>
    </w:p>
    <w:p w:rsidR="000655EA" w:rsidRPr="00AE33FD" w:rsidRDefault="007846FE" w:rsidP="007846FE">
      <w:r w:rsidRPr="00AE33FD">
        <w:t>Nové příčky budou provedené jako lehké sádrokartonové nebo zděné z lehkých pórobetonových příčkovek.</w:t>
      </w:r>
    </w:p>
    <w:p w:rsidR="007846FE" w:rsidRPr="00AE33FD" w:rsidRDefault="00592DB1" w:rsidP="007846FE">
      <w:r w:rsidRPr="00AE33FD">
        <w:t>Objekt navazující k jihovýchodnímu štítu bude kompletně odstraněn.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</w:pPr>
      <w:bookmarkStart w:id="50" w:name="_Toc183235747"/>
      <w:bookmarkStart w:id="51" w:name="_Toc212352784"/>
      <w:bookmarkStart w:id="52" w:name="_Toc138844593"/>
      <w:bookmarkStart w:id="53" w:name="_Toc141848469"/>
      <w:bookmarkStart w:id="54" w:name="_Toc42850000"/>
      <w:r w:rsidRPr="00AE33FD">
        <w:t>Popis konstrukc</w:t>
      </w:r>
      <w:bookmarkEnd w:id="50"/>
      <w:bookmarkEnd w:id="51"/>
      <w:r w:rsidR="00BC5190" w:rsidRPr="00AE33FD">
        <w:t>í</w:t>
      </w:r>
      <w:bookmarkEnd w:id="52"/>
      <w:bookmarkEnd w:id="53"/>
      <w:bookmarkEnd w:id="54"/>
    </w:p>
    <w:p w:rsidR="004519DA" w:rsidRPr="00AE33FD" w:rsidRDefault="00BC5190" w:rsidP="004519DA">
      <w:pPr>
        <w:pStyle w:val="Nadpis3"/>
        <w:numPr>
          <w:ilvl w:val="2"/>
          <w:numId w:val="1"/>
        </w:numPr>
        <w:rPr>
          <w:color w:val="666699"/>
        </w:rPr>
      </w:pPr>
      <w:bookmarkStart w:id="55" w:name="_Toc497901631"/>
      <w:bookmarkStart w:id="56" w:name="_Toc42850001"/>
      <w:bookmarkStart w:id="57" w:name="_Toc337455527"/>
      <w:r w:rsidRPr="00AE33FD">
        <w:t>Svislé konstrukce – stěny a sloupy</w:t>
      </w:r>
      <w:bookmarkEnd w:id="55"/>
      <w:bookmarkEnd w:id="56"/>
      <w:r w:rsidR="004519DA" w:rsidRPr="00AE33FD">
        <w:rPr>
          <w:color w:val="666699"/>
        </w:rPr>
        <w:t xml:space="preserve"> </w:t>
      </w:r>
    </w:p>
    <w:p w:rsidR="00BC5190" w:rsidRPr="00AE33FD" w:rsidRDefault="00BC5190" w:rsidP="00BC5190">
      <w:r w:rsidRPr="00AE33FD">
        <w:t>Nově bourané otvory ve stěnách budou opatřeny ocelovými překlady (dimenze dle výkresové části). U příček, které budou bourané až ke stropní konstrukci, je vzhledem k omezeným sondám stávajících konstrukcí stropů nutné při provádění ověřit, že příčky netvoří nosnou podporu stropní konstrukce!</w:t>
      </w:r>
    </w:p>
    <w:p w:rsidR="001A6284" w:rsidRPr="00AE33FD" w:rsidRDefault="001A6284" w:rsidP="00BC5190">
      <w:r w:rsidRPr="00AE33FD">
        <w:t>Některé nové překlady budou podepřeny novým ocelovým sloupem, nebo nově vyzděným pilířem, nebo bude v uložení zesílené zdivo ocelovými příložkami</w:t>
      </w:r>
      <w:r w:rsidR="00FA717B" w:rsidRPr="00AE33FD">
        <w:t xml:space="preserve"> (vše dle výkresové části).</w:t>
      </w:r>
    </w:p>
    <w:p w:rsidR="004519DA" w:rsidRPr="00AE33FD" w:rsidRDefault="00746874" w:rsidP="00746874">
      <w:pPr>
        <w:pStyle w:val="Nadpis3"/>
        <w:numPr>
          <w:ilvl w:val="2"/>
          <w:numId w:val="1"/>
        </w:numPr>
      </w:pPr>
      <w:bookmarkStart w:id="58" w:name="_Toc497901632"/>
      <w:bookmarkStart w:id="59" w:name="_Toc42850002"/>
      <w:r w:rsidRPr="00AE33FD">
        <w:t>Vodorovné konstrukce - stropy</w:t>
      </w:r>
      <w:bookmarkEnd w:id="58"/>
      <w:bookmarkEnd w:id="59"/>
    </w:p>
    <w:p w:rsidR="009B0149" w:rsidRPr="00AE33FD" w:rsidRDefault="00746874" w:rsidP="00746874">
      <w:r w:rsidRPr="00AE33FD">
        <w:t>Na stropech dojde pouze k výměně stávajícího podlahového souvrství (bez zásahu do nosné části stropu) za nové lehké skladby bez betonové mazaniny.</w:t>
      </w:r>
      <w:r w:rsidR="009B0149" w:rsidRPr="00AE33FD">
        <w:t xml:space="preserve"> </w:t>
      </w:r>
    </w:p>
    <w:p w:rsidR="009B0149" w:rsidRPr="00AE33FD" w:rsidRDefault="009B0149" w:rsidP="00746874">
      <w:r w:rsidRPr="00AE33FD">
        <w:t xml:space="preserve">V této fázi projektu se nepředpokládá využívání půdního prostoru. </w:t>
      </w:r>
    </w:p>
    <w:p w:rsidR="00E66672" w:rsidRPr="00AE33FD" w:rsidRDefault="009B0149" w:rsidP="00E66672">
      <w:r w:rsidRPr="00AE33FD">
        <w:t xml:space="preserve">Během provádění je nutné ověření dimenzí a roztečí stávajících trámů stropu nad 1.NP a stropu nad 2.NP. </w:t>
      </w:r>
      <w:r w:rsidR="002071AA" w:rsidRPr="00AE33FD">
        <w:t xml:space="preserve">Předpokládaná dimenze trámů stropu nad 1.NP je 180/280mm po max. 0,75m a předpokládaná dimenze trámů stropu nad 2.NP je 170/270 po max. 0,95m. </w:t>
      </w:r>
      <w:r w:rsidR="00E66672" w:rsidRPr="00AE33FD">
        <w:t>Pro tyto dimenze jsou stávající stropy</w:t>
      </w:r>
      <w:r w:rsidR="007B0CC7">
        <w:t xml:space="preserve"> </w:t>
      </w:r>
      <w:r w:rsidR="007B0CC7" w:rsidRPr="007B0CC7">
        <w:rPr>
          <w:b/>
          <w:bCs/>
        </w:rPr>
        <w:t>pro stávající užitné zatížení</w:t>
      </w:r>
      <w:r w:rsidR="00E66672" w:rsidRPr="00AE33FD">
        <w:t xml:space="preserve"> vyhovující v mezním stavu únosnosti a v mezním stavu okamžité deformace. V mezním stavu dlouhodobé deformace s dotvarováním j</w:t>
      </w:r>
      <w:r w:rsidR="00297337" w:rsidRPr="00AE33FD">
        <w:t>sou</w:t>
      </w:r>
      <w:r w:rsidR="00E66672" w:rsidRPr="00AE33FD">
        <w:t xml:space="preserve"> strop</w:t>
      </w:r>
      <w:r w:rsidR="00297337" w:rsidRPr="00AE33FD">
        <w:t>y</w:t>
      </w:r>
      <w:r w:rsidR="00E66672" w:rsidRPr="00AE33FD">
        <w:t xml:space="preserve"> vyhovující pro méně přísný požadavek L/200 (oproti L250 požadovaných normou). V případě zjištění jiné dimenze nebo rozteče trámů, bude nutné stávající trámy přeposoudit! </w:t>
      </w:r>
    </w:p>
    <w:p w:rsidR="009B0149" w:rsidRPr="00AE33FD" w:rsidRDefault="00E66672" w:rsidP="00E66672">
      <w:r w:rsidRPr="00AE33FD">
        <w:t>Všechny ponechávané dřevěné prvky musí být zhodnoceny mykologem a na základě mykologického posudku ošetřeny nebo nahrazeny prvkem odpovídající dimenze.</w:t>
      </w:r>
    </w:p>
    <w:p w:rsidR="00E66672" w:rsidRPr="00AE33FD" w:rsidRDefault="00E66672" w:rsidP="001B711F">
      <w:r w:rsidRPr="00AE33FD">
        <w:t>Stávající klenbové stropy v 1.PP nebyly zkontrolovány v celém rozsahu 1.PP. Případné trhliny ve zděných klenbách je nutné řádně vyklínovat dubovými klíny pro předepnutí kleneb a nebo je nutné navrhnout jiné konstrukční opatření!</w:t>
      </w:r>
      <w:r w:rsidR="000C789A" w:rsidRPr="00AE33FD">
        <w:t xml:space="preserve"> </w:t>
      </w:r>
      <w:r w:rsidR="00C46AFB" w:rsidRPr="00AE33FD">
        <w:t>V případě, že během provádění nedojde k odhalení žádné známky významného poškození, přetížení nebo degradace stropních klenbových konstrukcí, lze stávající zděné klenby (strop nad 1.PP) považovat za vyhovující vzhledem k dřívější uspokojivé způsobilosti. Pouze v</w:t>
      </w:r>
      <w:r w:rsidR="000C789A" w:rsidRPr="00AE33FD">
        <w:t xml:space="preserve"> části s klenbami uloženými do ocelových nosníků lze </w:t>
      </w:r>
      <w:r w:rsidR="000C789A" w:rsidRPr="00AE33FD">
        <w:lastRenderedPageBreak/>
        <w:t xml:space="preserve">předpokládat nevyhovující profil ocelových nosníků. </w:t>
      </w:r>
      <w:r w:rsidR="009E2D8A" w:rsidRPr="00AE33FD">
        <w:t>Ocelové nosníky zde budou podepřené novými nosníky 2x IPE č.220 svařenými do uzavřeného průřezu.</w:t>
      </w:r>
    </w:p>
    <w:p w:rsidR="00DA27C6" w:rsidRPr="00AE33FD" w:rsidRDefault="00DA27C6" w:rsidP="00DA27C6">
      <w:pPr>
        <w:pStyle w:val="Nadpis3"/>
        <w:widowControl w:val="0"/>
        <w:numPr>
          <w:ilvl w:val="2"/>
          <w:numId w:val="1"/>
        </w:numPr>
        <w:spacing w:before="120"/>
        <w:ind w:left="709" w:hanging="709"/>
        <w:jc w:val="left"/>
      </w:pPr>
      <w:bookmarkStart w:id="60" w:name="_Toc523308552"/>
      <w:bookmarkStart w:id="61" w:name="_Toc42850003"/>
      <w:r w:rsidRPr="00AE33FD">
        <w:t>Podkroví</w:t>
      </w:r>
      <w:bookmarkEnd w:id="60"/>
      <w:bookmarkEnd w:id="61"/>
    </w:p>
    <w:p w:rsidR="00DA27C6" w:rsidRPr="00AE33FD" w:rsidRDefault="00DA27C6" w:rsidP="00DA27C6">
      <w:r w:rsidRPr="00AE33FD">
        <w:t xml:space="preserve">V podkroví bude provedena příprava pro novou konstrukci střechy (viz dále). </w:t>
      </w:r>
    </w:p>
    <w:p w:rsidR="00DA27C6" w:rsidRPr="00AE33FD" w:rsidRDefault="00DA27C6" w:rsidP="00DA27C6">
      <w:r w:rsidRPr="00AE33FD">
        <w:t xml:space="preserve">Po odstranění stávajícího krovu budou do podlahy, mezi stávající podlahové trámy, vložené nové ocelové nosníky profilu </w:t>
      </w:r>
      <w:r w:rsidR="00585056" w:rsidRPr="00AE33FD">
        <w:t>HEA č.240</w:t>
      </w:r>
      <w:r w:rsidRPr="00AE33FD">
        <w:t xml:space="preserve">, které budou vynášet sloupky střechy. Nosníky musí být uložené na pevné nosné zdivo 2.NP mimo otvor! </w:t>
      </w:r>
      <w:r w:rsidR="00846700" w:rsidRPr="00AE33FD">
        <w:t>V případě, že uložení vychází do otvoru ve 2.NP, bude</w:t>
      </w:r>
      <w:r w:rsidR="007B0CC7">
        <w:t xml:space="preserve"> v podkroví</w:t>
      </w:r>
      <w:r w:rsidR="00846700" w:rsidRPr="00AE33FD">
        <w:t xml:space="preserve"> přes otvor pro</w:t>
      </w:r>
      <w:r w:rsidR="00C8669C" w:rsidRPr="00AE33FD">
        <w:t>vedena ocel</w:t>
      </w:r>
      <w:r w:rsidR="00106ACD" w:rsidRPr="00AE33FD">
        <w:t>ová výměna UPN č.200.</w:t>
      </w:r>
    </w:p>
    <w:p w:rsidR="00DA27C6" w:rsidRDefault="00DA27C6" w:rsidP="00DA27C6">
      <w:pPr>
        <w:rPr>
          <w:szCs w:val="24"/>
        </w:rPr>
      </w:pPr>
      <w:r w:rsidRPr="00AE33FD">
        <w:t>Dále bude v podkroví ubourána nadezdívka na požadovanou úroveň a v hlavě nadezdívky bude proveden nový železobetonový věnec. Podélná výztuž nového věnce bude ze 4</w:t>
      </w:r>
      <w:r w:rsidRPr="00AE33FD">
        <w:rPr>
          <w:szCs w:val="24"/>
        </w:rPr>
        <w:sym w:font="Symbol" w:char="F0C6"/>
      </w:r>
      <w:r w:rsidRPr="00AE33FD">
        <w:rPr>
          <w:szCs w:val="24"/>
        </w:rPr>
        <w:t xml:space="preserve">12mm a bude svázaná třmínky </w:t>
      </w:r>
      <w:r w:rsidRPr="00AE33FD">
        <w:rPr>
          <w:szCs w:val="24"/>
        </w:rPr>
        <w:sym w:font="Symbol" w:char="F0C6"/>
      </w:r>
      <w:r w:rsidRPr="00AE33FD">
        <w:rPr>
          <w:szCs w:val="24"/>
        </w:rPr>
        <w:t>8/250mm. Přesah p</w:t>
      </w:r>
      <w:r w:rsidR="00B3138C" w:rsidRPr="00AE33FD">
        <w:rPr>
          <w:szCs w:val="24"/>
        </w:rPr>
        <w:t>odélné výztuže bude min. 800mm.</w:t>
      </w:r>
    </w:p>
    <w:p w:rsidR="00A97F61" w:rsidRPr="00AE33FD" w:rsidRDefault="00A97F61" w:rsidP="00DA27C6">
      <w:r>
        <w:rPr>
          <w:szCs w:val="24"/>
        </w:rPr>
        <w:t xml:space="preserve">Věnec bude zajištěn šikmými vzpěrami jäkl 50/50/5 k podlahovým trámům podkroví (ke stávajícím dřevěným trámům nebo k novým ocelovým nosníům). </w:t>
      </w:r>
    </w:p>
    <w:p w:rsidR="004519DA" w:rsidRPr="00AE33FD" w:rsidRDefault="008D39DD" w:rsidP="004519DA">
      <w:pPr>
        <w:pStyle w:val="Nadpis3"/>
        <w:numPr>
          <w:ilvl w:val="2"/>
          <w:numId w:val="1"/>
        </w:numPr>
      </w:pPr>
      <w:bookmarkStart w:id="62" w:name="_Toc42850004"/>
      <w:r w:rsidRPr="00AE33FD">
        <w:t>Konstrukce střechy</w:t>
      </w:r>
      <w:bookmarkEnd w:id="62"/>
    </w:p>
    <w:p w:rsidR="00F92ADC" w:rsidRPr="00AE33FD" w:rsidRDefault="00F92ADC" w:rsidP="00F92ADC">
      <w:pPr>
        <w:ind w:firstLine="708"/>
      </w:pPr>
      <w:r w:rsidRPr="00AE33FD">
        <w:t>Stávající krov bude kompletně odstraněn.</w:t>
      </w:r>
    </w:p>
    <w:p w:rsidR="00F92ADC" w:rsidRPr="00AE33FD" w:rsidRDefault="00F92ADC" w:rsidP="00F92ADC">
      <w:pPr>
        <w:ind w:firstLine="708"/>
      </w:pPr>
      <w:r w:rsidRPr="00AE33FD">
        <w:t xml:space="preserve">Nová konstrukce střechy bude tvořena vaznicovou soustavou s vaznicemi průřezu </w:t>
      </w:r>
      <w:r w:rsidR="005F5C77" w:rsidRPr="00AE33FD">
        <w:t>160/260mm. V polích s větším rozponem (u štítů) budou vaznice z lepeného lamelového dřeva průřezu 160/300</w:t>
      </w:r>
      <w:r w:rsidR="00432E1A" w:rsidRPr="00AE33FD">
        <w:t>mm</w:t>
      </w:r>
      <w:r w:rsidRPr="00AE33FD">
        <w:t>. Vaznice budou uložené na štítové stěny, na některé vnitřní stěny a na sloup</w:t>
      </w:r>
      <w:r w:rsidR="007F20B9">
        <w:t>k</w:t>
      </w:r>
      <w:r w:rsidRPr="00AE33FD">
        <w:t>y</w:t>
      </w:r>
      <w:r w:rsidR="00432E1A" w:rsidRPr="00AE33FD">
        <w:t xml:space="preserve"> 160/160mm. Od sloup</w:t>
      </w:r>
      <w:r w:rsidR="007F20B9">
        <w:t>k</w:t>
      </w:r>
      <w:r w:rsidR="00432E1A" w:rsidRPr="00AE33FD">
        <w:t>ů k vaznicím budou provedené ztužující pásky 120/120mm.</w:t>
      </w:r>
      <w:r w:rsidRPr="00AE33FD">
        <w:t xml:space="preserve"> Sloup</w:t>
      </w:r>
      <w:r w:rsidR="007F20B9">
        <w:t>k</w:t>
      </w:r>
      <w:r w:rsidRPr="00AE33FD">
        <w:t>y budou uložené na ocelov</w:t>
      </w:r>
      <w:r w:rsidR="00FE2170" w:rsidRPr="00AE33FD">
        <w:t>ých</w:t>
      </w:r>
      <w:r w:rsidRPr="00AE33FD">
        <w:t xml:space="preserve"> nosní</w:t>
      </w:r>
      <w:r w:rsidR="00FE2170" w:rsidRPr="00AE33FD">
        <w:t>cích</w:t>
      </w:r>
      <w:r w:rsidRPr="00AE33FD">
        <w:t xml:space="preserve"> HEA č.2</w:t>
      </w:r>
      <w:r w:rsidR="00C90229" w:rsidRPr="00AE33FD">
        <w:t>4</w:t>
      </w:r>
      <w:r w:rsidRPr="00AE33FD">
        <w:t>0 v podlaze podkroví.</w:t>
      </w:r>
    </w:p>
    <w:p w:rsidR="00845281" w:rsidRPr="00AE33FD" w:rsidRDefault="00F92ADC" w:rsidP="00F92ADC">
      <w:pPr>
        <w:ind w:firstLine="708"/>
      </w:pPr>
      <w:r w:rsidRPr="00AE33FD">
        <w:t xml:space="preserve">Na vaznicích budou uložené vazby tvořené krokvemi stáhnutými oboustrannými kleštinami. Krokve budou průřezu 80/180mm a kleštiny budou průřezu 2x </w:t>
      </w:r>
      <w:r w:rsidR="00845281" w:rsidRPr="00AE33FD">
        <w:t>6</w:t>
      </w:r>
      <w:r w:rsidRPr="00AE33FD">
        <w:t>0/1</w:t>
      </w:r>
      <w:r w:rsidR="00845281" w:rsidRPr="00AE33FD">
        <w:t>8</w:t>
      </w:r>
      <w:r w:rsidRPr="00AE33FD">
        <w:t xml:space="preserve">0mm. </w:t>
      </w:r>
    </w:p>
    <w:p w:rsidR="00F92ADC" w:rsidRPr="00AE33FD" w:rsidRDefault="00F92ADC" w:rsidP="00F92ADC">
      <w:pPr>
        <w:ind w:firstLine="708"/>
        <w:rPr>
          <w:szCs w:val="24"/>
        </w:rPr>
      </w:pPr>
      <w:r w:rsidRPr="00AE33FD">
        <w:rPr>
          <w:szCs w:val="24"/>
        </w:rPr>
        <w:t>Po obvodě budou krokve osedlané na pozednice průřezu 140/140mm, které budou kotvené do železobetonového věnce chemickými kotvami M12 po max. 2,0m.</w:t>
      </w:r>
    </w:p>
    <w:p w:rsidR="00F92ADC" w:rsidRPr="00AE33FD" w:rsidRDefault="00F92ADC" w:rsidP="00F92ADC">
      <w:pPr>
        <w:ind w:firstLine="708"/>
        <w:rPr>
          <w:szCs w:val="24"/>
        </w:rPr>
      </w:pPr>
      <w:r w:rsidRPr="00AE33FD">
        <w:rPr>
          <w:szCs w:val="24"/>
        </w:rPr>
        <w:t>Úžlabní krokve</w:t>
      </w:r>
      <w:r w:rsidR="0097799E" w:rsidRPr="00AE33FD">
        <w:rPr>
          <w:szCs w:val="24"/>
        </w:rPr>
        <w:t xml:space="preserve"> a vrcholové vaznice vikýřů</w:t>
      </w:r>
      <w:r w:rsidRPr="00AE33FD">
        <w:rPr>
          <w:szCs w:val="24"/>
        </w:rPr>
        <w:t xml:space="preserve"> </w:t>
      </w:r>
      <w:r w:rsidR="0097799E" w:rsidRPr="00AE33FD">
        <w:rPr>
          <w:szCs w:val="24"/>
        </w:rPr>
        <w:t>b</w:t>
      </w:r>
      <w:r w:rsidRPr="00AE33FD">
        <w:rPr>
          <w:szCs w:val="24"/>
        </w:rPr>
        <w:t>udou průřezu 1</w:t>
      </w:r>
      <w:r w:rsidR="0097799E" w:rsidRPr="00AE33FD">
        <w:rPr>
          <w:szCs w:val="24"/>
        </w:rPr>
        <w:t>4</w:t>
      </w:r>
      <w:r w:rsidRPr="00AE33FD">
        <w:rPr>
          <w:szCs w:val="24"/>
        </w:rPr>
        <w:t>0/2</w:t>
      </w:r>
      <w:r w:rsidR="0097799E" w:rsidRPr="00AE33FD">
        <w:rPr>
          <w:szCs w:val="24"/>
        </w:rPr>
        <w:t>2</w:t>
      </w:r>
      <w:r w:rsidRPr="00AE33FD">
        <w:rPr>
          <w:szCs w:val="24"/>
        </w:rPr>
        <w:t>0mm</w:t>
      </w:r>
      <w:r w:rsidR="0097799E" w:rsidRPr="00AE33FD">
        <w:rPr>
          <w:szCs w:val="24"/>
        </w:rPr>
        <w:t>.</w:t>
      </w:r>
    </w:p>
    <w:p w:rsidR="0096508D" w:rsidRPr="00AE33FD" w:rsidRDefault="0096508D" w:rsidP="00F92ADC">
      <w:pPr>
        <w:ind w:firstLine="708"/>
        <w:rPr>
          <w:szCs w:val="24"/>
        </w:rPr>
      </w:pPr>
      <w:r w:rsidRPr="00AE33FD">
        <w:rPr>
          <w:szCs w:val="24"/>
        </w:rPr>
        <w:t>Na krokvích bude v celé ploše střechy proveden tuhý OSB záklop.</w:t>
      </w:r>
    </w:p>
    <w:p w:rsidR="003A4E8F" w:rsidRPr="00AE33FD" w:rsidRDefault="003A4E8F" w:rsidP="003A4E8F">
      <w:pPr>
        <w:pStyle w:val="Nadpis2"/>
        <w:numPr>
          <w:ilvl w:val="1"/>
          <w:numId w:val="1"/>
        </w:numPr>
      </w:pPr>
      <w:bookmarkStart w:id="63" w:name="_Toc503358049"/>
      <w:bookmarkStart w:id="64" w:name="_Toc42850005"/>
      <w:r w:rsidRPr="00AE33FD">
        <w:t>Popis postupu prací pro provedení nových otvorů ve stávajících stěnách</w:t>
      </w:r>
      <w:bookmarkEnd w:id="63"/>
      <w:bookmarkEnd w:id="64"/>
    </w:p>
    <w:p w:rsidR="00005B57" w:rsidRPr="00AE33FD" w:rsidRDefault="00005B57" w:rsidP="00005B57">
      <w:pPr>
        <w:spacing w:before="120" w:after="120"/>
        <w:rPr>
          <w:b/>
        </w:rPr>
      </w:pPr>
      <w:r w:rsidRPr="00AE33FD">
        <w:rPr>
          <w:b/>
        </w:rPr>
        <w:t>Nový otvor se</w:t>
      </w:r>
      <w:r w:rsidR="00864361" w:rsidRPr="00AE33FD">
        <w:rPr>
          <w:b/>
        </w:rPr>
        <w:t xml:space="preserve"> obecně</w:t>
      </w:r>
      <w:r w:rsidRPr="00AE33FD">
        <w:rPr>
          <w:b/>
        </w:rPr>
        <w:t xml:space="preserve"> doporučuje provést podle následujícího postupu</w:t>
      </w:r>
      <w:r w:rsidR="00864361" w:rsidRPr="00AE33FD">
        <w:rPr>
          <w:b/>
        </w:rPr>
        <w:t>: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U nadpraží, na kterém je uložen strop, se musí nejdříve zajistit stávající strop pomocí provizorního dřevěného rámu. Provizorní rám musí min. přesahovat budoucí otvor z každé strany o 0,50m. Stojky rámu musí stát na roznášecím trámu.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 xml:space="preserve">Po zajištění nadpraží se v místě, kam má být překlad uložen, vybourá vodorovná drážka do stěny do hloubky cca 1/3 tloušťky stěny. Délka drážky a její půdorysné umístění musí být takové, aby byla zajištěna dostatečná délka uložení (min. </w:t>
      </w:r>
      <w:r w:rsidR="00177A30" w:rsidRPr="00AE33FD">
        <w:t>175</w:t>
      </w:r>
      <w:r w:rsidRPr="00AE33FD">
        <w:t>mm</w:t>
      </w:r>
      <w:r w:rsidR="00177A30" w:rsidRPr="00AE33FD">
        <w:t xml:space="preserve"> pro překlady IPN č.120 a min. 250mm pro překlady IPE č.240</w:t>
      </w:r>
      <w:r w:rsidRPr="00AE33FD">
        <w:t>) nově vložených překladů za lícem navrhovaného otvoru.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Do drážky je vložena polovina překladů určených do nadpraží otvoru.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Nosník musí být uložen na pevnou část zdiva a pečlivě pod</w:t>
      </w:r>
      <w:smartTag w:uri="urn:schemas-microsoft-com:office:smarttags" w:element="PersonName">
        <w:r w:rsidRPr="00AE33FD">
          <w:t>ma</w:t>
        </w:r>
      </w:smartTag>
      <w:r w:rsidRPr="00AE33FD">
        <w:t xml:space="preserve">zán cementovou </w:t>
      </w:r>
      <w:smartTag w:uri="urn:schemas-microsoft-com:office:smarttags" w:element="PersonName">
        <w:r w:rsidRPr="00AE33FD">
          <w:t>ma</w:t>
        </w:r>
      </w:smartTag>
      <w:r w:rsidRPr="00AE33FD">
        <w:t xml:space="preserve">ltou. Zbytek drážky, mezi horní přírubou nosníku a horní hranou vybourané drážky nad nosníkem, musí být pečlivě zaklínován a vyplněn cementovou </w:t>
      </w:r>
      <w:smartTag w:uri="urn:schemas-microsoft-com:office:smarttags" w:element="PersonName">
        <w:r w:rsidRPr="00AE33FD">
          <w:t>ma</w:t>
        </w:r>
      </w:smartTag>
      <w:r w:rsidRPr="00AE33FD">
        <w:t>ltou.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 xml:space="preserve">Po zatvrdnutí </w:t>
      </w:r>
      <w:smartTag w:uri="urn:schemas-microsoft-com:office:smarttags" w:element="PersonName">
        <w:r w:rsidRPr="00AE33FD">
          <w:t>ma</w:t>
        </w:r>
      </w:smartTag>
      <w:r w:rsidRPr="00AE33FD">
        <w:t>lty kolem takto vložených nosníků (min. 1 týden) je možno stejným způsobem vložit nosníky z druhé strany stěny.</w:t>
      </w:r>
    </w:p>
    <w:p w:rsidR="00005B57" w:rsidRDefault="00005B57" w:rsidP="00005B57">
      <w:pPr>
        <w:numPr>
          <w:ilvl w:val="0"/>
          <w:numId w:val="2"/>
        </w:numPr>
        <w:ind w:left="709"/>
      </w:pPr>
      <w:r w:rsidRPr="00AE33FD">
        <w:t>Po aktivování nosníku z druhé strany zdi (utažení klínů a zaplnění drážky) je možno odstranit provizorní dřevěný rám a vybourat požadovaný otvor.</w:t>
      </w:r>
    </w:p>
    <w:p w:rsidR="00005B57" w:rsidRPr="00AE33FD" w:rsidRDefault="00005B57" w:rsidP="00005B57">
      <w:pPr>
        <w:spacing w:before="120" w:after="120"/>
        <w:rPr>
          <w:b/>
        </w:rPr>
      </w:pPr>
      <w:r w:rsidRPr="00AE33FD">
        <w:rPr>
          <w:b/>
        </w:rPr>
        <w:t>Posunutí stávajícího otvoru se</w:t>
      </w:r>
      <w:r w:rsidR="00864361" w:rsidRPr="00AE33FD">
        <w:rPr>
          <w:b/>
        </w:rPr>
        <w:t xml:space="preserve"> obecně</w:t>
      </w:r>
      <w:r w:rsidRPr="00AE33FD">
        <w:rPr>
          <w:b/>
        </w:rPr>
        <w:t xml:space="preserve"> doporučuje provést podle </w:t>
      </w:r>
      <w:r w:rsidR="00864361" w:rsidRPr="00AE33FD">
        <w:rPr>
          <w:b/>
        </w:rPr>
        <w:t>náhled.</w:t>
      </w:r>
      <w:r w:rsidRPr="00AE33FD">
        <w:rPr>
          <w:b/>
        </w:rPr>
        <w:t xml:space="preserve"> postupu</w:t>
      </w:r>
      <w:r w:rsidR="00864361" w:rsidRPr="00AE33FD">
        <w:rPr>
          <w:b/>
        </w:rPr>
        <w:t>: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lastRenderedPageBreak/>
        <w:t xml:space="preserve">Nejprve je dozděna část otvoru určená k vyplnění. Doplňované zdivo musí být řádně svázáno s původním zdivem. Např. zalepením betonářských prutů do stávajícího zdiva a zazděním jejich volných konců do ložných spár přizdívaného pilíře. Z původního zdiva musí být odstraněna omítka, svislá spára styku starého a nového zdiva musí být </w:t>
      </w:r>
      <w:smartTag w:uri="urn:schemas-microsoft-com:office:smarttags" w:element="PersonName">
        <w:r w:rsidRPr="00AE33FD">
          <w:t>ma</w:t>
        </w:r>
      </w:smartTag>
      <w:r w:rsidRPr="00AE33FD">
        <w:t>ltována, staré zdivo musí být před přizdíváním (po zalepení prutů) namočeno.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U nadpraží, na kterém je uložen strop, se musí zajistit stávající strop pomocí provizorního dřevěného rámu. Provizorní rám musí min. přesahovat budoucí i stávající otvor z každé strany o 0,50m. Stojky rámu musí stát na roznášecím trámu.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Při zachování výšky otvoru a zajištění nadpraží bude vyjmuta polovina stávajících překladů (z jedné strany stěny).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V místě posunutí otvoru, kam má být překlad uložen, se vybourá vodorovná drážka do stěny do hloubky cca 1/3 tloušťky stěny. Délka drážky a její půdorysné umístění musí být takové, aby byla zajištěna dostatečná délka uložení (</w:t>
      </w:r>
      <w:r w:rsidR="00864361" w:rsidRPr="00AE33FD">
        <w:t>min. 175mm pro překlady IPN č.120 a min. 250mm pro překlady IPE č.240</w:t>
      </w:r>
      <w:r w:rsidRPr="00AE33FD">
        <w:t xml:space="preserve">) nově vložených překladů za lícem navrhovaného posunutého otvoru. 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Délka uložení platí i v uložení v místě nového podezdění. V případě, že bude délka drážky z vyjmutých překladů nedostačující, musí se prodloužit.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Do drážky je vložena polovina překladů určených do nadpraží otvoru.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Nosník musí být uložen na pevnou část zdiva a pečlivě pod</w:t>
      </w:r>
      <w:smartTag w:uri="urn:schemas-microsoft-com:office:smarttags" w:element="PersonName">
        <w:r w:rsidRPr="00AE33FD">
          <w:t>ma</w:t>
        </w:r>
      </w:smartTag>
      <w:r w:rsidRPr="00AE33FD">
        <w:t xml:space="preserve">zán cementovou </w:t>
      </w:r>
      <w:smartTag w:uri="urn:schemas-microsoft-com:office:smarttags" w:element="PersonName">
        <w:r w:rsidRPr="00AE33FD">
          <w:t>ma</w:t>
        </w:r>
      </w:smartTag>
      <w:r w:rsidRPr="00AE33FD">
        <w:t xml:space="preserve">ltou. Zbytek drážky, mezi horní přírubou nosníku a horní hranou vybourané drážky nad nosníkem, musí být pečlivě zaklínován a vyplněn cementovou </w:t>
      </w:r>
      <w:smartTag w:uri="urn:schemas-microsoft-com:office:smarttags" w:element="PersonName">
        <w:r w:rsidRPr="00AE33FD">
          <w:t>ma</w:t>
        </w:r>
      </w:smartTag>
      <w:r w:rsidRPr="00AE33FD">
        <w:t>ltou.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 xml:space="preserve">Po zatvrdnutí </w:t>
      </w:r>
      <w:smartTag w:uri="urn:schemas-microsoft-com:office:smarttags" w:element="PersonName">
        <w:r w:rsidRPr="00AE33FD">
          <w:t>ma</w:t>
        </w:r>
      </w:smartTag>
      <w:r w:rsidRPr="00AE33FD">
        <w:t>lty kolem takto vložených nosníků (min. 1 týden) je možno stejným způsobem vložit nosníky z druhé strany stěny.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Po aktivování nosníku z druhé strany zdi (utažení klínů a zaplnění drážky) je možno odstranit provizorní dřevěný rám a vybourat požadovaný otvor.</w:t>
      </w:r>
    </w:p>
    <w:p w:rsidR="00005B57" w:rsidRPr="00AE33FD" w:rsidRDefault="00005B57" w:rsidP="00005B57">
      <w:pPr>
        <w:spacing w:before="120" w:after="120"/>
        <w:rPr>
          <w:b/>
        </w:rPr>
      </w:pPr>
      <w:r w:rsidRPr="00AE33FD">
        <w:rPr>
          <w:b/>
        </w:rPr>
        <w:t>Rozšíření stávajícího otvoru se</w:t>
      </w:r>
      <w:r w:rsidR="00864361" w:rsidRPr="00AE33FD">
        <w:rPr>
          <w:b/>
        </w:rPr>
        <w:t xml:space="preserve"> obecně</w:t>
      </w:r>
      <w:r w:rsidRPr="00AE33FD">
        <w:rPr>
          <w:b/>
        </w:rPr>
        <w:t xml:space="preserve"> doporučuje provést podle </w:t>
      </w:r>
      <w:r w:rsidR="00864361" w:rsidRPr="00AE33FD">
        <w:rPr>
          <w:b/>
        </w:rPr>
        <w:t>náhled.</w:t>
      </w:r>
      <w:r w:rsidRPr="00AE33FD">
        <w:rPr>
          <w:b/>
        </w:rPr>
        <w:t xml:space="preserve"> postupu</w:t>
      </w:r>
      <w:r w:rsidR="00864361" w:rsidRPr="00AE33FD">
        <w:rPr>
          <w:b/>
        </w:rPr>
        <w:t>: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U nadpraží, na kterém je uložen strop, se musí zajistit stávající strop pomocí provizorního dřevěného rámu. Provizorní rám musí min. přesahovat budoucí i stávající otvor z každé strany o 0,50m. Stojky rámu musí stát na roznášecím trámu.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Při zachování výšky otvoru a zajištění nadpraží bude vyjmuta polovina stávajících překladů (z jedné strany stěny).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V místě rozšíření otvoru, kam má být překlad uložen, se vybourá vodorovná drážka do stěny do hloubky cca 1/3 tloušťky stěny. Délka drážky a její půdorysné umístění musí být takové, aby byla zajištěna dostatečná délka uložení (</w:t>
      </w:r>
      <w:r w:rsidR="00864361" w:rsidRPr="00AE33FD">
        <w:t>min. 175mm pro překlady IPN č.120 a min. 250mm pro překlady IPE č.240</w:t>
      </w:r>
      <w:r w:rsidRPr="00AE33FD">
        <w:t xml:space="preserve">) nově vložených překladů za lícem navrhovaného posunutého otvoru. 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Délka uložení (min. 175mm) platí i v uložení v místě stávajícího překladu. V případě, že bude délka drážky z vyjmutých překladů nedostačující, musí se prodloužit.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Do drážky je vložena polovina překladů určených do nadpraží otvoru.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Nosník musí být uložen na pevnou část zdiva a pečlivě pod</w:t>
      </w:r>
      <w:smartTag w:uri="urn:schemas-microsoft-com:office:smarttags" w:element="PersonName">
        <w:r w:rsidRPr="00AE33FD">
          <w:t>ma</w:t>
        </w:r>
      </w:smartTag>
      <w:r w:rsidRPr="00AE33FD">
        <w:t xml:space="preserve">zán cementovou </w:t>
      </w:r>
      <w:smartTag w:uri="urn:schemas-microsoft-com:office:smarttags" w:element="PersonName">
        <w:r w:rsidRPr="00AE33FD">
          <w:t>ma</w:t>
        </w:r>
      </w:smartTag>
      <w:r w:rsidRPr="00AE33FD">
        <w:t xml:space="preserve">ltou. Zbytek drážky, mezi horní přírubou nosníku a horní hranou vybourané drážky nad nosníkem, musí být pečlivě zaklínován a vyplněn cementovou </w:t>
      </w:r>
      <w:smartTag w:uri="urn:schemas-microsoft-com:office:smarttags" w:element="PersonName">
        <w:r w:rsidRPr="00AE33FD">
          <w:t>ma</w:t>
        </w:r>
      </w:smartTag>
      <w:r w:rsidRPr="00AE33FD">
        <w:t>ltou.</w:t>
      </w:r>
    </w:p>
    <w:p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 xml:space="preserve">Po zatvrdnutí </w:t>
      </w:r>
      <w:smartTag w:uri="urn:schemas-microsoft-com:office:smarttags" w:element="PersonName">
        <w:r w:rsidRPr="00AE33FD">
          <w:t>ma</w:t>
        </w:r>
      </w:smartTag>
      <w:r w:rsidRPr="00AE33FD">
        <w:t>lty kolem takto vložených nosníků (min. 1 týden) je možno stejným způsobem vložit nosníky z druhé strany stěny.</w:t>
      </w:r>
    </w:p>
    <w:p w:rsidR="00864361" w:rsidRPr="00AE33FD" w:rsidRDefault="00005B57" w:rsidP="0023562B">
      <w:pPr>
        <w:numPr>
          <w:ilvl w:val="0"/>
          <w:numId w:val="2"/>
        </w:numPr>
        <w:ind w:left="709"/>
      </w:pPr>
      <w:r w:rsidRPr="00AE33FD">
        <w:t>Po aktivování nosníku z druhé strany zdi (utažení klínů a zaplnění drážky) je možno odstranit provizorní dřevěný rám a vybourat požadovaný otvor.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</w:pPr>
      <w:bookmarkStart w:id="65" w:name="_Toc139426878"/>
      <w:bookmarkStart w:id="66" w:name="_Toc178943689"/>
      <w:bookmarkStart w:id="67" w:name="_Toc212352792"/>
      <w:bookmarkStart w:id="68" w:name="_Toc42850006"/>
      <w:bookmarkEnd w:id="57"/>
      <w:r w:rsidRPr="00AE33FD">
        <w:t>Navrhované materiály</w:t>
      </w:r>
      <w:bookmarkEnd w:id="65"/>
      <w:bookmarkEnd w:id="66"/>
      <w:bookmarkEnd w:id="67"/>
      <w:r w:rsidR="00211E90" w:rsidRPr="00AE33FD">
        <w:t xml:space="preserve"> a výrobky</w:t>
      </w:r>
      <w:bookmarkEnd w:id="68"/>
    </w:p>
    <w:p w:rsidR="00C57ECC" w:rsidRPr="00AE33FD" w:rsidRDefault="00C57ECC" w:rsidP="00C57ECC">
      <w:pPr>
        <w:spacing w:before="120"/>
      </w:pPr>
      <w:bookmarkStart w:id="69" w:name="_Toc139426879"/>
      <w:bookmarkStart w:id="70" w:name="_Toc178943690"/>
      <w:bookmarkStart w:id="71" w:name="_Toc212352793"/>
      <w:r w:rsidRPr="00AE33FD">
        <w:rPr>
          <w:b/>
        </w:rPr>
        <w:t>Dozdívky stáv</w:t>
      </w:r>
      <w:r w:rsidR="00203CA4" w:rsidRPr="00AE33FD">
        <w:rPr>
          <w:b/>
        </w:rPr>
        <w:t>.</w:t>
      </w:r>
      <w:r w:rsidRPr="00AE33FD">
        <w:rPr>
          <w:b/>
        </w:rPr>
        <w:t xml:space="preserve"> stěn</w:t>
      </w:r>
      <w:r w:rsidR="00203CA4" w:rsidRPr="00AE33FD">
        <w:rPr>
          <w:b/>
        </w:rPr>
        <w:t xml:space="preserve"> a nové pilíře</w:t>
      </w:r>
      <w:r w:rsidRPr="00AE33FD">
        <w:t xml:space="preserve"> budou z plných cihel pevnosti P</w:t>
      </w:r>
      <w:r w:rsidR="00203CA4" w:rsidRPr="00AE33FD">
        <w:t>20</w:t>
      </w:r>
      <w:r w:rsidRPr="00AE33FD">
        <w:t xml:space="preserve"> na maltu M</w:t>
      </w:r>
      <w:r w:rsidR="00203CA4" w:rsidRPr="00AE33FD">
        <w:t>10</w:t>
      </w:r>
      <w:r w:rsidRPr="00AE33FD">
        <w:t xml:space="preserve">. </w:t>
      </w:r>
    </w:p>
    <w:p w:rsidR="00C57ECC" w:rsidRPr="00AE33FD" w:rsidRDefault="00C57ECC" w:rsidP="00AE51FF">
      <w:pPr>
        <w:pStyle w:val="bn2"/>
        <w:spacing w:before="120"/>
        <w:ind w:firstLine="709"/>
      </w:pPr>
      <w:r w:rsidRPr="00AE33FD">
        <w:rPr>
          <w:b/>
        </w:rPr>
        <w:lastRenderedPageBreak/>
        <w:t>Ocelové konstrukce</w:t>
      </w:r>
      <w:r w:rsidRPr="00AE33FD">
        <w:t xml:space="preserve"> budou z oceli třídy S235. </w:t>
      </w:r>
    </w:p>
    <w:p w:rsidR="007F20B9" w:rsidRDefault="007F20B9" w:rsidP="00AE51FF">
      <w:pPr>
        <w:pStyle w:val="bn2"/>
        <w:spacing w:before="120"/>
        <w:ind w:firstLine="709"/>
        <w:rPr>
          <w:b/>
        </w:rPr>
      </w:pPr>
      <w:r w:rsidRPr="00AE33FD">
        <w:rPr>
          <w:b/>
        </w:rPr>
        <w:t xml:space="preserve">Železobetonový </w:t>
      </w:r>
      <w:r>
        <w:rPr>
          <w:b/>
        </w:rPr>
        <w:t>roznášecí trám pod zděným pilířem v 1.NP</w:t>
      </w:r>
      <w:r w:rsidRPr="00AE33FD">
        <w:rPr>
          <w:b/>
        </w:rPr>
        <w:t xml:space="preserve"> </w:t>
      </w:r>
      <w:r w:rsidRPr="00AE33FD">
        <w:t>bude z betonu C</w:t>
      </w:r>
      <w:r>
        <w:t>25</w:t>
      </w:r>
      <w:r w:rsidRPr="00AE33FD">
        <w:t>/</w:t>
      </w:r>
      <w:r>
        <w:t>30</w:t>
      </w:r>
      <w:r w:rsidRPr="00AE33FD">
        <w:t xml:space="preserve"> XC1 vyztužen výztuží B500 B.</w:t>
      </w:r>
    </w:p>
    <w:p w:rsidR="00C57ECC" w:rsidRPr="00AE33FD" w:rsidRDefault="00A13BD5" w:rsidP="00AE51FF">
      <w:pPr>
        <w:pStyle w:val="bn2"/>
        <w:spacing w:before="120"/>
        <w:ind w:firstLine="709"/>
      </w:pPr>
      <w:r w:rsidRPr="00AE33FD">
        <w:rPr>
          <w:b/>
        </w:rPr>
        <w:t>Železobetonový věnec</w:t>
      </w:r>
      <w:r w:rsidR="007F20B9">
        <w:rPr>
          <w:b/>
        </w:rPr>
        <w:t xml:space="preserve"> v podkroví</w:t>
      </w:r>
      <w:r w:rsidR="00C57ECC" w:rsidRPr="00AE33FD">
        <w:rPr>
          <w:b/>
        </w:rPr>
        <w:t xml:space="preserve"> </w:t>
      </w:r>
      <w:r w:rsidR="00C57ECC" w:rsidRPr="00AE33FD">
        <w:t>bude z betonu C2</w:t>
      </w:r>
      <w:r w:rsidRPr="00AE33FD">
        <w:t>0</w:t>
      </w:r>
      <w:r w:rsidR="00C57ECC" w:rsidRPr="00AE33FD">
        <w:t>/</w:t>
      </w:r>
      <w:r w:rsidRPr="00AE33FD">
        <w:t>25</w:t>
      </w:r>
      <w:r w:rsidR="00C57ECC" w:rsidRPr="00AE33FD">
        <w:t xml:space="preserve"> XC1 vyztužen výztuží B500 B.</w:t>
      </w:r>
    </w:p>
    <w:p w:rsidR="00AE51FF" w:rsidRPr="00AE33FD" w:rsidRDefault="00AE51FF" w:rsidP="00AE51FF">
      <w:pPr>
        <w:pStyle w:val="bn2"/>
        <w:spacing w:before="120"/>
        <w:ind w:firstLine="709"/>
      </w:pPr>
      <w:r w:rsidRPr="00AE33FD">
        <w:rPr>
          <w:b/>
        </w:rPr>
        <w:t xml:space="preserve">Dřevěné konstrukce </w:t>
      </w:r>
      <w:r w:rsidRPr="00AE33FD">
        <w:t xml:space="preserve">budou z rostlého dřeva třídy C22. </w:t>
      </w:r>
      <w:r w:rsidR="00FC053B" w:rsidRPr="00AE33FD">
        <w:t xml:space="preserve">Vaznice průřezu 160/300mm v delších polích u štítů budou z lepeného lamelového dřeva třídy GL 24h. </w:t>
      </w:r>
      <w:r w:rsidR="002E7237" w:rsidRPr="00AE33FD">
        <w:t>Jednotlivé prvky budou spojovány tesařskými spoji se zajištěním ocelovými svorníky, vruty a hřebíky, případně pomocí plechových spojek pro dřevěné konstrukce.</w:t>
      </w:r>
    </w:p>
    <w:p w:rsidR="00AE51FF" w:rsidRPr="00AE33FD" w:rsidRDefault="00AE51FF" w:rsidP="00AE51FF">
      <w:pPr>
        <w:pStyle w:val="bn2"/>
        <w:spacing w:before="120"/>
        <w:ind w:firstLine="709"/>
        <w:rPr>
          <w:b/>
        </w:rPr>
      </w:pPr>
      <w:r w:rsidRPr="00AE33FD">
        <w:rPr>
          <w:b/>
        </w:rPr>
        <w:t>Lepené kotvy</w:t>
      </w:r>
    </w:p>
    <w:p w:rsidR="00AE51FF" w:rsidRPr="00AE33FD" w:rsidRDefault="00AE51FF" w:rsidP="00AE51FF">
      <w:pPr>
        <w:pStyle w:val="bn2"/>
        <w:numPr>
          <w:ilvl w:val="0"/>
          <w:numId w:val="7"/>
        </w:numPr>
        <w:tabs>
          <w:tab w:val="clear" w:pos="1429"/>
          <w:tab w:val="num" w:pos="993"/>
        </w:tabs>
        <w:ind w:left="993" w:hanging="284"/>
        <w:rPr>
          <w:b/>
        </w:rPr>
      </w:pPr>
      <w:r w:rsidRPr="00AE33FD">
        <w:t xml:space="preserve">Tmely pro zalepení  kotev musí být použity certifikované pro příslušný typ </w:t>
      </w:r>
      <w:smartTag w:uri="urn:schemas-microsoft-com:office:smarttags" w:element="PersonName">
        <w:r w:rsidRPr="00AE33FD">
          <w:t>ma</w:t>
        </w:r>
      </w:smartTag>
      <w:r w:rsidRPr="00AE33FD">
        <w:t xml:space="preserve">teriálu, do kterého bude kotveno. Při jejich aplikaci musí být bezpodmínečně dodrženy veškeré pokyny výrobce: Vyčištění vrtu, </w:t>
      </w:r>
      <w:smartTag w:uri="urn:schemas-microsoft-com:office:smarttags" w:element="PersonName">
        <w:r w:rsidRPr="00AE33FD">
          <w:t>ma</w:t>
        </w:r>
      </w:smartTag>
      <w:r w:rsidRPr="00AE33FD">
        <w:t>ximální vlhkost podkladu, doby zpracovatelnosti a tvrdnutí vzhledem k teplotě prostředí, max. utahovací krouticí moment, atd.</w:t>
      </w:r>
    </w:p>
    <w:p w:rsidR="00211E90" w:rsidRPr="00AE33FD" w:rsidRDefault="00211E90" w:rsidP="00211E90">
      <w:pPr>
        <w:pStyle w:val="Nadpis2"/>
        <w:numPr>
          <w:ilvl w:val="1"/>
          <w:numId w:val="1"/>
        </w:numPr>
      </w:pPr>
      <w:bookmarkStart w:id="72" w:name="_Toc42850007"/>
      <w:r w:rsidRPr="00AE33FD">
        <w:t>Požadavky na vzhled a povrchové úpravy</w:t>
      </w:r>
      <w:bookmarkEnd w:id="72"/>
    </w:p>
    <w:p w:rsidR="00EC5179" w:rsidRPr="00AE33FD" w:rsidRDefault="00EC5179" w:rsidP="00EC5179">
      <w:pPr>
        <w:spacing w:before="120"/>
        <w:rPr>
          <w:b/>
        </w:rPr>
      </w:pPr>
      <w:r w:rsidRPr="00AE33FD">
        <w:rPr>
          <w:b/>
        </w:rPr>
        <w:t>Povrchová úprava konstrukcí</w:t>
      </w:r>
      <w:r w:rsidRPr="00AE33FD">
        <w:t xml:space="preserve"> (včetně barevného odstínu vrchního nátěru) je stanovena v architektonicko-stavebně technickém řešení stavby.</w:t>
      </w:r>
    </w:p>
    <w:p w:rsidR="00AF43A3" w:rsidRPr="00AE33FD" w:rsidRDefault="00EC5179" w:rsidP="00EC5179">
      <w:pPr>
        <w:spacing w:before="120"/>
        <w:rPr>
          <w:b/>
        </w:rPr>
      </w:pPr>
      <w:r w:rsidRPr="00AE33FD">
        <w:rPr>
          <w:b/>
        </w:rPr>
        <w:t>Ocelové konstrukce budou dle klasifikace ČSN EN ISO 9223 uvedené v tabulce 1 vystaveny stupni korozní agresivity C</w:t>
      </w:r>
      <w:r w:rsidR="00A373BC" w:rsidRPr="00AE33FD">
        <w:rPr>
          <w:b/>
        </w:rPr>
        <w:t>2</w:t>
      </w:r>
      <w:r w:rsidR="00AF43A3" w:rsidRPr="00AE33FD">
        <w:rPr>
          <w:b/>
        </w:rPr>
        <w:t>.</w:t>
      </w:r>
    </w:p>
    <w:p w:rsidR="00A373BC" w:rsidRPr="00AE33FD" w:rsidRDefault="00A373BC" w:rsidP="00A373BC">
      <w:pPr>
        <w:tabs>
          <w:tab w:val="left" w:pos="1418"/>
        </w:tabs>
        <w:spacing w:before="60"/>
        <w:ind w:left="1418" w:hanging="709"/>
      </w:pPr>
      <w:r w:rsidRPr="00AE33FD">
        <w:rPr>
          <w:b/>
        </w:rPr>
        <w:t>C2</w:t>
      </w:r>
      <w:r w:rsidRPr="00AE33FD">
        <w:rPr>
          <w:b/>
        </w:rPr>
        <w:tab/>
        <w:t>korozní agresivita nízká</w:t>
      </w:r>
      <w:r w:rsidRPr="00AE33FD">
        <w:t>, nevytápěné prostory s měnící se teplotou a relativní vlhkostí, malou četností kondenzace a malým znečištěním, např. sklady, sportovní haly;</w:t>
      </w:r>
    </w:p>
    <w:p w:rsidR="00A373BC" w:rsidRPr="00AE33FD" w:rsidRDefault="00A373BC" w:rsidP="00A373BC">
      <w:pPr>
        <w:adjustRightInd w:val="0"/>
        <w:ind w:left="1418" w:hanging="1418"/>
      </w:pPr>
      <w:r w:rsidRPr="00AE33FD">
        <w:rPr>
          <w:b/>
        </w:rPr>
        <w:tab/>
      </w:r>
      <w:r w:rsidRPr="00AE33FD">
        <w:t>venkovní prostředí, mírné klimatické pásmo, atmosférické prostředí s malým znečištěním (SO</w:t>
      </w:r>
      <w:r w:rsidRPr="00AE33FD">
        <w:rPr>
          <w:vertAlign w:val="subscript"/>
        </w:rPr>
        <w:t>2</w:t>
      </w:r>
      <w:r w:rsidRPr="00AE33FD">
        <w:t xml:space="preserve">&lt;5 </w:t>
      </w:r>
      <w:r w:rsidRPr="00AE33FD">
        <w:rPr>
          <w:szCs w:val="24"/>
          <w:lang w:eastAsia="cs-CZ"/>
        </w:rPr>
        <w:t>μ</w:t>
      </w:r>
      <w:r w:rsidRPr="00AE33FD">
        <w:t>g/m</w:t>
      </w:r>
      <w:r w:rsidRPr="00AE33FD">
        <w:rPr>
          <w:vertAlign w:val="superscript"/>
        </w:rPr>
        <w:t>3</w:t>
      </w:r>
      <w:r w:rsidRPr="00AE33FD">
        <w:t>), např. venkovské oblasti, malá města</w:t>
      </w:r>
    </w:p>
    <w:p w:rsidR="006C2C06" w:rsidRPr="00AE33FD" w:rsidRDefault="006C2C06" w:rsidP="006C2C06">
      <w:pPr>
        <w:spacing w:before="120"/>
        <w:rPr>
          <w:b/>
        </w:rPr>
      </w:pPr>
      <w:r w:rsidRPr="00AE33FD">
        <w:rPr>
          <w:b/>
        </w:rPr>
        <w:t>Ocelové konstrukce budou</w:t>
      </w:r>
      <w:r w:rsidR="0062640F" w:rsidRPr="00AE33FD">
        <w:rPr>
          <w:b/>
        </w:rPr>
        <w:t xml:space="preserve"> mít protikorozní ochranu ochrannými nátěrovými systémy </w:t>
      </w:r>
      <w:r w:rsidRPr="00AE33FD">
        <w:rPr>
          <w:b/>
        </w:rPr>
        <w:t>dle</w:t>
      </w:r>
      <w:r w:rsidR="0062640F" w:rsidRPr="00AE33FD">
        <w:rPr>
          <w:b/>
        </w:rPr>
        <w:t xml:space="preserve"> určené</w:t>
      </w:r>
      <w:r w:rsidR="00EE4838" w:rsidRPr="00AE33FD">
        <w:rPr>
          <w:b/>
        </w:rPr>
        <w:t>ho</w:t>
      </w:r>
      <w:r w:rsidR="0062640F" w:rsidRPr="00AE33FD">
        <w:rPr>
          <w:b/>
        </w:rPr>
        <w:t xml:space="preserve"> korozní</w:t>
      </w:r>
      <w:r w:rsidR="00EE4838" w:rsidRPr="00AE33FD">
        <w:rPr>
          <w:b/>
        </w:rPr>
        <w:t>ho</w:t>
      </w:r>
      <w:r w:rsidRPr="00AE33FD">
        <w:rPr>
          <w:b/>
        </w:rPr>
        <w:t xml:space="preserve"> stupně agresivity</w:t>
      </w:r>
      <w:r w:rsidR="0062640F" w:rsidRPr="00AE33FD">
        <w:rPr>
          <w:b/>
        </w:rPr>
        <w:t xml:space="preserve"> a dle ČSN EN ISO 12944-5 dle tabulek A</w:t>
      </w:r>
      <w:r w:rsidRPr="00AE33FD">
        <w:rPr>
          <w:b/>
        </w:rPr>
        <w:t>.</w:t>
      </w:r>
    </w:p>
    <w:p w:rsidR="00211E90" w:rsidRPr="00AE33FD" w:rsidRDefault="005C7F3A" w:rsidP="00F37C77">
      <w:pPr>
        <w:spacing w:before="120"/>
      </w:pPr>
      <w:r w:rsidRPr="00AE33FD">
        <w:rPr>
          <w:b/>
        </w:rPr>
        <w:t>Dřevěné konstrukce</w:t>
      </w:r>
      <w:r w:rsidRPr="00AE33FD">
        <w:t xml:space="preserve"> budou</w:t>
      </w:r>
      <w:r w:rsidR="007F545B" w:rsidRPr="00AE33FD">
        <w:t xml:space="preserve"> ošetřeny</w:t>
      </w:r>
      <w:r w:rsidRPr="00AE33FD">
        <w:t xml:space="preserve"> přípravkem proti dřevokazným houbám a škůdcům s hygienickým atestem pro vnitřní prostředí.</w:t>
      </w:r>
    </w:p>
    <w:p w:rsidR="004519DA" w:rsidRPr="00AE33FD" w:rsidRDefault="00B7306F" w:rsidP="004519DA">
      <w:pPr>
        <w:pStyle w:val="Nadpis2"/>
        <w:numPr>
          <w:ilvl w:val="1"/>
          <w:numId w:val="1"/>
        </w:numPr>
      </w:pPr>
      <w:bookmarkStart w:id="73" w:name="_Toc42850008"/>
      <w:r w:rsidRPr="00AE33FD">
        <w:t>Požadavky na p</w:t>
      </w:r>
      <w:r w:rsidR="004519DA" w:rsidRPr="00AE33FD">
        <w:t>ostup prací</w:t>
      </w:r>
      <w:bookmarkEnd w:id="69"/>
      <w:bookmarkEnd w:id="70"/>
      <w:bookmarkEnd w:id="71"/>
      <w:r w:rsidR="004519DA" w:rsidRPr="00AE33FD">
        <w:t xml:space="preserve"> a kontrolu </w:t>
      </w:r>
      <w:r w:rsidR="00CF3385" w:rsidRPr="00AE33FD">
        <w:t>během provádění</w:t>
      </w:r>
      <w:bookmarkEnd w:id="73"/>
    </w:p>
    <w:p w:rsidR="004519DA" w:rsidRPr="00AE33FD" w:rsidRDefault="004519DA" w:rsidP="004519DA">
      <w:r w:rsidRPr="00AE33FD">
        <w:t>Pro výstavbu budou použity běžné stavební postupy, na tomto místě</w:t>
      </w:r>
      <w:r w:rsidR="00D55628" w:rsidRPr="00AE33FD">
        <w:t xml:space="preserve"> se</w:t>
      </w:r>
      <w:r w:rsidRPr="00AE33FD">
        <w:t xml:space="preserve"> zdůrazňuje nutnost dodržení zejména následujících předpisů:</w:t>
      </w:r>
    </w:p>
    <w:p w:rsidR="004C5A47" w:rsidRPr="00AE33FD" w:rsidRDefault="004C5A47" w:rsidP="004C5A47">
      <w:pPr>
        <w:spacing w:before="120"/>
        <w:ind w:left="284" w:firstLine="0"/>
        <w:rPr>
          <w:b/>
        </w:rPr>
      </w:pPr>
      <w:r w:rsidRPr="00AE33FD">
        <w:rPr>
          <w:b/>
        </w:rPr>
        <w:t>Bourání</w:t>
      </w:r>
    </w:p>
    <w:p w:rsidR="004C5A47" w:rsidRPr="00AE33FD" w:rsidRDefault="004C5A47" w:rsidP="004C5A47">
      <w:pPr>
        <w:numPr>
          <w:ilvl w:val="0"/>
          <w:numId w:val="2"/>
        </w:numPr>
        <w:ind w:left="993" w:hanging="284"/>
      </w:pPr>
      <w:r w:rsidRPr="00AE33FD">
        <w:t>Všechno bourání musí být prováděno s velkou opatrností při zajišťovaní zbývajících konstrukcí.</w:t>
      </w:r>
    </w:p>
    <w:p w:rsidR="004C5A47" w:rsidRPr="00AE33FD" w:rsidRDefault="004C5A47" w:rsidP="00487E4D">
      <w:pPr>
        <w:numPr>
          <w:ilvl w:val="0"/>
          <w:numId w:val="2"/>
        </w:numPr>
        <w:ind w:left="993" w:hanging="284"/>
      </w:pPr>
      <w:r w:rsidRPr="00AE33FD">
        <w:t xml:space="preserve">Všechno bourání musí být prováděno postupem shora dolů, při zachování elementární opatrnosti! </w:t>
      </w:r>
      <w:r w:rsidR="00487E4D" w:rsidRPr="00AE33FD">
        <w:t>Smějí být odstraněny pouze nezatížené části!</w:t>
      </w:r>
    </w:p>
    <w:p w:rsidR="004519DA" w:rsidRPr="00AE33FD" w:rsidRDefault="004519DA" w:rsidP="004519DA">
      <w:pPr>
        <w:spacing w:before="120"/>
        <w:ind w:left="284" w:firstLine="0"/>
        <w:rPr>
          <w:b/>
        </w:rPr>
      </w:pPr>
      <w:r w:rsidRPr="00AE33FD">
        <w:rPr>
          <w:b/>
        </w:rPr>
        <w:t>Železobetonové konstrukce</w:t>
      </w:r>
      <w:r w:rsidR="001D370E" w:rsidRPr="00AE33FD">
        <w:rPr>
          <w:b/>
        </w:rPr>
        <w:t xml:space="preserve"> </w:t>
      </w:r>
    </w:p>
    <w:p w:rsidR="00B7306F" w:rsidRPr="00AE33FD" w:rsidRDefault="001D370E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Je nutno upozornit na nutnost dodržování podmínek ošetřování a ochrany betonu podle ČSN EN 206</w:t>
      </w:r>
      <w:r w:rsidR="00B7306F" w:rsidRPr="00AE33FD">
        <w:t>.</w:t>
      </w:r>
    </w:p>
    <w:p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Před betonáží musí být řádně ošetřeny pracovní spáry!</w:t>
      </w:r>
    </w:p>
    <w:p w:rsidR="001E6312" w:rsidRPr="00AE33FD" w:rsidRDefault="008267C4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 xml:space="preserve">Je </w:t>
      </w:r>
      <w:r w:rsidR="001E6312" w:rsidRPr="00AE33FD">
        <w:t>nutn</w:t>
      </w:r>
      <w:r w:rsidRPr="00AE33FD">
        <w:t>o</w:t>
      </w:r>
      <w:r w:rsidR="001E6312" w:rsidRPr="00AE33FD">
        <w:t xml:space="preserve"> dodržet lhůtu min. 28 dní pro nabytí plné pevnosti betonu.</w:t>
      </w:r>
    </w:p>
    <w:p w:rsidR="004519DA" w:rsidRPr="00AE33FD" w:rsidRDefault="00431F11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J</w:t>
      </w:r>
      <w:r w:rsidR="004519DA" w:rsidRPr="00AE33FD">
        <w:t>e nutno dbát na dostatečné krytí betonářské výztuže.</w:t>
      </w:r>
    </w:p>
    <w:p w:rsidR="004519DA" w:rsidRDefault="004519DA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Všechna ukládaná výztuž železobetonových konstrukcí musí být přejímána odbornou osobou před betonáží.</w:t>
      </w:r>
    </w:p>
    <w:p w:rsidR="00D52A36" w:rsidRPr="00AE33FD" w:rsidRDefault="00D52A36" w:rsidP="00D52A36">
      <w:pPr>
        <w:ind w:left="993" w:firstLine="0"/>
      </w:pPr>
    </w:p>
    <w:p w:rsidR="0025091C" w:rsidRPr="00AE33FD" w:rsidRDefault="0025091C" w:rsidP="0025091C">
      <w:pPr>
        <w:spacing w:before="120"/>
        <w:ind w:left="284" w:firstLine="0"/>
        <w:rPr>
          <w:b/>
        </w:rPr>
      </w:pPr>
      <w:r w:rsidRPr="00AE33FD">
        <w:rPr>
          <w:b/>
        </w:rPr>
        <w:t>Dřevěné konstrukce</w:t>
      </w:r>
    </w:p>
    <w:p w:rsidR="0025091C" w:rsidRPr="00AE33FD" w:rsidRDefault="0025091C" w:rsidP="0025091C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Dřevo pro nové dřevěné konstrukce musí být vysušeno na rovnovážnou vlhkost, nesmí být použito dřevo nedostatečně vysušené!</w:t>
      </w:r>
    </w:p>
    <w:p w:rsidR="00AB085D" w:rsidRPr="00AE33FD" w:rsidRDefault="00AB085D" w:rsidP="00AB085D">
      <w:pPr>
        <w:spacing w:before="120"/>
        <w:ind w:left="284" w:firstLine="0"/>
        <w:rPr>
          <w:b/>
        </w:rPr>
      </w:pPr>
      <w:r w:rsidRPr="00AE33FD">
        <w:rPr>
          <w:b/>
        </w:rPr>
        <w:t>Zděné konstrukce</w:t>
      </w:r>
    </w:p>
    <w:p w:rsidR="00AB085D" w:rsidRPr="00AE33FD" w:rsidRDefault="00AB085D" w:rsidP="00AB085D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Pro výstavbu zděných konstrukcí musí být dodrženy technologické předpisy výrobce.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74" w:name="_Toc42850009"/>
      <w:r w:rsidRPr="00AE33FD">
        <w:rPr>
          <w:color w:val="000000"/>
        </w:rPr>
        <w:t>Stanovení podmínek pro provedení stavby</w:t>
      </w:r>
      <w:bookmarkEnd w:id="74"/>
    </w:p>
    <w:p w:rsidR="0023562B" w:rsidRPr="00AE33FD" w:rsidRDefault="0023562B" w:rsidP="0023562B">
      <w:bookmarkStart w:id="75" w:name="_Toc212352797"/>
      <w:r w:rsidRPr="00AE33FD">
        <w:t>Po odhalení stropních trámů (zjištění průřezu a roztečí) je nutné provést přeposouzení stávajících stropních trámů.</w:t>
      </w:r>
    </w:p>
    <w:p w:rsidR="0023562B" w:rsidRPr="00AE33FD" w:rsidRDefault="006E25CA" w:rsidP="0023562B">
      <w:r w:rsidRPr="00AE33FD">
        <w:t>Všechny ponechávané dřevěné prvky musí být zhodnoceny mykologem a na základě mykologického posudku ošetřeny nebo nahrazeny prvkem odpovídající dimenze.</w:t>
      </w:r>
    </w:p>
    <w:p w:rsidR="00EB60BC" w:rsidRPr="00AE33FD" w:rsidRDefault="00EB60BC" w:rsidP="00EB60BC">
      <w:pPr>
        <w:spacing w:before="60" w:after="60"/>
        <w:rPr>
          <w:b/>
          <w:bCs/>
          <w:szCs w:val="24"/>
        </w:rPr>
      </w:pPr>
      <w:r w:rsidRPr="00AE33FD">
        <w:rPr>
          <w:b/>
          <w:bCs/>
          <w:szCs w:val="24"/>
        </w:rPr>
        <w:t>V objektu byly provedeny omezené průzkumné sondy stávajících nosných konstrukcí, proto během provádění při odhalení konstrukce, může dojít k jinému způsobu řešení nebo opatření!</w:t>
      </w:r>
    </w:p>
    <w:p w:rsidR="00EB60BC" w:rsidRPr="00AE33FD" w:rsidRDefault="00EB60BC" w:rsidP="00EB60BC">
      <w:r w:rsidRPr="00AE33FD">
        <w:rPr>
          <w:b/>
          <w:bCs/>
        </w:rPr>
        <w:t>Pokud budou při realizaci zjištěny významnější trhliny nebo jiné skutečnosti, jež by mohly mít vliv na stabilitu a bezpečnost, je třeba povolat autorizovanou osobu k provedení průzkumu a přehodnocení stavu konstrukce.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76" w:name="_Toc42850010"/>
      <w:r w:rsidRPr="00AE33FD">
        <w:rPr>
          <w:color w:val="000000"/>
        </w:rPr>
        <w:t>Technické normy provádění</w:t>
      </w:r>
      <w:bookmarkEnd w:id="75"/>
      <w:r w:rsidRPr="00AE33FD">
        <w:rPr>
          <w:color w:val="000000"/>
        </w:rPr>
        <w:t xml:space="preserve"> a kontroly</w:t>
      </w:r>
      <w:bookmarkEnd w:id="76"/>
    </w:p>
    <w:p w:rsidR="004519DA" w:rsidRPr="00AE33FD" w:rsidRDefault="004519DA" w:rsidP="004519DA">
      <w:pPr>
        <w:spacing w:after="120"/>
        <w:rPr>
          <w:b/>
          <w:color w:val="000000"/>
        </w:rPr>
      </w:pPr>
      <w:r w:rsidRPr="00AE33FD">
        <w:rPr>
          <w:b/>
          <w:color w:val="000000"/>
        </w:rPr>
        <w:t>Dodavatel stavby je povinen se řídit technickými nor</w:t>
      </w:r>
      <w:smartTag w:uri="urn:schemas-microsoft-com:office:smarttags" w:element="PersonName">
        <w:r w:rsidRPr="00AE33FD">
          <w:rPr>
            <w:b/>
            <w:color w:val="000000"/>
          </w:rPr>
          <w:t>ma</w:t>
        </w:r>
      </w:smartTag>
      <w:r w:rsidRPr="00AE33FD">
        <w:rPr>
          <w:b/>
          <w:color w:val="000000"/>
        </w:rPr>
        <w:t>mi provádění.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73 0210-1</w:t>
      </w:r>
      <w:r w:rsidRPr="00AE33FD">
        <w:tab/>
        <w:t>Geometrická přesnost ve výstavbě, Podmínky provádění, Část 1: Přesnost osazení</w:t>
      </w:r>
    </w:p>
    <w:p w:rsidR="00CF3385" w:rsidRPr="00AE33FD" w:rsidRDefault="00CF3385" w:rsidP="004519DA">
      <w:pPr>
        <w:tabs>
          <w:tab w:val="left" w:pos="2835"/>
        </w:tabs>
        <w:spacing w:before="20"/>
        <w:ind w:left="2835" w:hanging="2268"/>
      </w:pPr>
      <w:r w:rsidRPr="00AE33FD">
        <w:t>ČSN EN 206</w:t>
      </w:r>
      <w:r w:rsidRPr="00AE33FD">
        <w:tab/>
        <w:t>Beton – Specifikace, vlastnosti, výroba a shoda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13670</w:t>
      </w:r>
      <w:r w:rsidRPr="00AE33FD">
        <w:tab/>
        <w:t>Provádění betonových konstrukcí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1090-1</w:t>
      </w:r>
      <w:r w:rsidRPr="00AE33FD">
        <w:tab/>
        <w:t>Provádění ocelových a hliníkových konstrukcí – Část 1: Požadavky na posouzení shody konstrukčních dílců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1090-2</w:t>
      </w:r>
      <w:r w:rsidRPr="00AE33FD">
        <w:tab/>
        <w:t>Provádění ocelových a hliníkových konstrukcí – Část 2: Technické požadavky na ocelové konstrukce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73 2604</w:t>
      </w:r>
      <w:r w:rsidRPr="00AE33FD">
        <w:tab/>
        <w:t>Ocelové konstrukce – Kontrola a údržba ocelových konstrukcí pozemních a inženýrských staveb</w:t>
      </w:r>
    </w:p>
    <w:p w:rsidR="00CF3385" w:rsidRPr="00AE33FD" w:rsidRDefault="00CF3385" w:rsidP="00CF3385">
      <w:pPr>
        <w:tabs>
          <w:tab w:val="left" w:pos="2835"/>
        </w:tabs>
        <w:spacing w:before="20"/>
        <w:ind w:left="2835" w:hanging="2268"/>
      </w:pPr>
      <w:r w:rsidRPr="00AE33FD">
        <w:t>ČSN EN ISO 9223</w:t>
      </w:r>
      <w:r w:rsidRPr="00AE33FD">
        <w:tab/>
        <w:t>Koroze kovů a slitin – Korozní agresivita atmosfér – Klasifikace, stanovení a odhad</w:t>
      </w:r>
    </w:p>
    <w:p w:rsidR="00CF3385" w:rsidRPr="00AE33FD" w:rsidRDefault="00CF3385" w:rsidP="004519DA">
      <w:pPr>
        <w:tabs>
          <w:tab w:val="left" w:pos="2835"/>
        </w:tabs>
        <w:spacing w:before="20"/>
        <w:ind w:left="2835" w:hanging="2268"/>
      </w:pPr>
      <w:r w:rsidRPr="00AE33FD">
        <w:t>ČSN EN ISO 12944-5</w:t>
      </w:r>
      <w:r w:rsidRPr="00AE33FD">
        <w:tab/>
        <w:t>Nátěrové hmoty – Protikorozní ochrana ocelových konstrukcí ochrannými nátěrovými systémy – Část 5: Ochranné nátěrové systémy</w:t>
      </w:r>
    </w:p>
    <w:p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1995-1-1</w:t>
      </w:r>
      <w:r w:rsidRPr="00AE33FD">
        <w:tab/>
        <w:t>Navrhování dřevěných konstrukcí, Část 1-1: Obecná pravidla – Společná pravidla a pravidla pro pozemní stavby, Kapitola 10: Konstrukční zásady, provádění a kontrola</w:t>
      </w:r>
    </w:p>
    <w:p w:rsidR="004519DA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1996-2</w:t>
      </w:r>
      <w:r w:rsidRPr="00AE33FD">
        <w:tab/>
        <w:t xml:space="preserve">Navrhování zděných konstrukcí – Část 2: Volba </w:t>
      </w:r>
      <w:smartTag w:uri="urn:schemas-microsoft-com:office:smarttags" w:element="PersonName">
        <w:r w:rsidRPr="00AE33FD">
          <w:t>ma</w:t>
        </w:r>
      </w:smartTag>
      <w:r w:rsidRPr="00AE33FD">
        <w:t>teriálů, konstruování a provádění zdiva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</w:pPr>
      <w:bookmarkStart w:id="77" w:name="_Toc196038398"/>
      <w:bookmarkStart w:id="78" w:name="_Toc212352798"/>
      <w:bookmarkStart w:id="79" w:name="_Toc42850011"/>
      <w:r w:rsidRPr="00AE33FD">
        <w:t>Bezpečnost a ochrana zdraví při práci</w:t>
      </w:r>
      <w:bookmarkEnd w:id="77"/>
      <w:bookmarkEnd w:id="78"/>
      <w:bookmarkEnd w:id="79"/>
    </w:p>
    <w:p w:rsidR="004519DA" w:rsidRPr="00AE33FD" w:rsidRDefault="004519DA" w:rsidP="004519DA">
      <w:r w:rsidRPr="00AE33FD">
        <w:t>Při stavebních pracích podle tohoto projektu je dodavatel povinen postupovat v souladu s vyhláškou č.362/2005 Sb., o bližších požadavcích na bezpečnost a ochranu zdraví při práci na pracovištích s nebezpečím pádu z výšky nebo do hloubky, č.591/2006 Sb., o bližších minimál</w:t>
      </w:r>
      <w:r w:rsidRPr="00AE33FD">
        <w:lastRenderedPageBreak/>
        <w:t>ních požadavcích na bezpečnost a ochranu zdraví při práci, č.361/2007 Sb., kterým se stanoví podmínky ochrany zdraví při práci.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80" w:name="_Toc42850012"/>
      <w:r w:rsidRPr="00AE33FD">
        <w:rPr>
          <w:color w:val="000000"/>
        </w:rPr>
        <w:t>Třída následků stavby</w:t>
      </w:r>
      <w:r w:rsidR="001D370E" w:rsidRPr="00AE33FD">
        <w:rPr>
          <w:color w:val="000000"/>
        </w:rPr>
        <w:t xml:space="preserve"> a třídy provádění konstrukcí</w:t>
      </w:r>
      <w:bookmarkEnd w:id="80"/>
    </w:p>
    <w:p w:rsidR="004519DA" w:rsidRPr="00AE33FD" w:rsidRDefault="004519DA" w:rsidP="004519DA">
      <w:pPr>
        <w:rPr>
          <w:b/>
        </w:rPr>
      </w:pPr>
      <w:r w:rsidRPr="00AE33FD">
        <w:rPr>
          <w:b/>
        </w:rPr>
        <w:t>Třída konstrukce z hlediska požadované spolehlivosti pro účely kontroly a údržby dle ČSN EN 1990 přílohy B je CC2</w:t>
      </w:r>
      <w:r w:rsidR="00CF3385" w:rsidRPr="00AE33FD">
        <w:rPr>
          <w:b/>
        </w:rPr>
        <w:t xml:space="preserve"> s třídou spolehlivosti RC2</w:t>
      </w:r>
      <w:r w:rsidRPr="00AE33FD">
        <w:rPr>
          <w:b/>
        </w:rPr>
        <w:t>.</w:t>
      </w:r>
    </w:p>
    <w:p w:rsidR="004519DA" w:rsidRPr="00AE33FD" w:rsidRDefault="004519DA" w:rsidP="004519DA">
      <w:pPr>
        <w:tabs>
          <w:tab w:val="left" w:pos="1418"/>
        </w:tabs>
        <w:spacing w:before="60"/>
        <w:ind w:left="1418" w:hanging="709"/>
      </w:pPr>
      <w:r w:rsidRPr="00AE33FD">
        <w:rPr>
          <w:b/>
        </w:rPr>
        <w:t>CC2</w:t>
      </w:r>
      <w:r w:rsidRPr="00AE33FD">
        <w:tab/>
      </w:r>
      <w:r w:rsidRPr="00AE33FD">
        <w:rPr>
          <w:b/>
        </w:rPr>
        <w:t xml:space="preserve">střední </w:t>
      </w:r>
      <w:r w:rsidRPr="00AE33FD">
        <w:t xml:space="preserve">následky s ohledem na ztráty lidských životů nebo </w:t>
      </w:r>
      <w:r w:rsidRPr="00AE33FD">
        <w:rPr>
          <w:b/>
        </w:rPr>
        <w:t>značné</w:t>
      </w:r>
      <w:r w:rsidRPr="00AE33FD">
        <w:t xml:space="preserve"> následky ekonomické, sociální nebo pro prostředí</w:t>
      </w:r>
    </w:p>
    <w:p w:rsidR="004519DA" w:rsidRPr="00AE33FD" w:rsidRDefault="004519DA" w:rsidP="004519DA">
      <w:pPr>
        <w:tabs>
          <w:tab w:val="left" w:pos="1418"/>
        </w:tabs>
        <w:spacing w:before="30" w:after="60"/>
        <w:ind w:left="1418" w:hanging="709"/>
      </w:pPr>
      <w:r w:rsidRPr="00AE33FD">
        <w:tab/>
        <w:t>obytné a administrativní budovy a budovy určené pro veřejnost, kde jsou následky poruchy středně závažné (např. kancelářské budovy)</w:t>
      </w:r>
    </w:p>
    <w:p w:rsidR="001D370E" w:rsidRPr="00AE33FD" w:rsidRDefault="001D370E" w:rsidP="001D370E">
      <w:pPr>
        <w:spacing w:before="120"/>
      </w:pPr>
      <w:r w:rsidRPr="00AE33FD">
        <w:t>Železobetonovým konstrukcím odpovídá dle ČSN EN 13670 Prováděcí třída 2.</w:t>
      </w:r>
    </w:p>
    <w:p w:rsidR="001D370E" w:rsidRDefault="001D370E" w:rsidP="001D370E">
      <w:pPr>
        <w:spacing w:before="120"/>
      </w:pPr>
      <w:r w:rsidRPr="00AE33FD">
        <w:t>Ocelovým konstrukcím dle ČSN EN 1090-2</w:t>
      </w:r>
      <w:r w:rsidR="00FA39E8" w:rsidRPr="00AE33FD">
        <w:t xml:space="preserve"> přílohy B</w:t>
      </w:r>
      <w:r w:rsidRPr="00AE33FD">
        <w:t xml:space="preserve"> odpovídá Třída provedení EXC2.</w:t>
      </w:r>
    </w:p>
    <w:p w:rsidR="00EB7F7A" w:rsidRPr="00AE33FD" w:rsidRDefault="00EB7F7A" w:rsidP="00EB7F7A">
      <w:pPr>
        <w:pStyle w:val="Nadpis2"/>
        <w:numPr>
          <w:ilvl w:val="1"/>
          <w:numId w:val="1"/>
        </w:numPr>
        <w:rPr>
          <w:color w:val="000000"/>
        </w:rPr>
      </w:pPr>
      <w:bookmarkStart w:id="81" w:name="_Toc42850013"/>
      <w:r w:rsidRPr="00AE33FD">
        <w:rPr>
          <w:color w:val="000000"/>
        </w:rPr>
        <w:t>P</w:t>
      </w:r>
      <w:r>
        <w:rPr>
          <w:color w:val="000000"/>
        </w:rPr>
        <w:t>ožární ochrana</w:t>
      </w:r>
      <w:bookmarkEnd w:id="81"/>
    </w:p>
    <w:p w:rsidR="00EB7F7A" w:rsidRPr="00EB7F7A" w:rsidRDefault="00EB7F7A" w:rsidP="00EB7F7A">
      <w:pPr>
        <w:adjustRightInd w:val="0"/>
      </w:pPr>
      <w:r w:rsidRPr="00EB7F7A">
        <w:t>Stropní konstrukce nad 2NP bude nahrazena. Nosné dřevěné trámy budou zachovány, či nahrazeny ve stejné dimenzi. Stropní konstrukce bude opatřena záklopem tl. 25 mm, násypem a podlahou. Podbití bude provedeno v tl. 15 mm z OSB. Stropní konstrukce bude dále opatřena podhledem ze SDK. Požadovaná požární odolnost REI 45 DP2 bude zajištěna podhledem ze SDK s požární odolností alespoň EI 45 v souladu s ČSN 73 0810 čl. 3.2.4.</w:t>
      </w:r>
    </w:p>
    <w:p w:rsidR="00EB7F7A" w:rsidRDefault="00EB7F7A" w:rsidP="00EB7F7A">
      <w:pPr>
        <w:adjustRightInd w:val="0"/>
        <w:rPr>
          <w:rFonts w:ascii="Arial Narrow" w:hAnsi="Arial Narrow"/>
        </w:rPr>
      </w:pPr>
    </w:p>
    <w:p w:rsidR="00EB7F7A" w:rsidRPr="00EB7F7A" w:rsidRDefault="00EB7F7A" w:rsidP="00EB7F7A">
      <w:pPr>
        <w:adjustRightInd w:val="0"/>
      </w:pPr>
      <w:r w:rsidRPr="00EB7F7A">
        <w:t>Místy budou provedeny ocelové nosníky, které budou mít požadovanou požární odolnost R 45 zajištěnu obkladem s požární odolností alespoň EI 45, což bude prokázáno dodavatelem systému.</w:t>
      </w:r>
    </w:p>
    <w:p w:rsidR="00EB7F7A" w:rsidRDefault="00EB7F7A" w:rsidP="001D370E">
      <w:pPr>
        <w:spacing w:before="120"/>
      </w:pPr>
      <w:r w:rsidRPr="00EB7F7A">
        <w:t>V prostoru vstupní haly bude dále osazen ocelový sloup, který bude pro požadovanou požární odolnost R 45 opatřen obkladem s požární odolností alespoň EI 45</w:t>
      </w:r>
      <w:r>
        <w:t xml:space="preserve">. </w:t>
      </w:r>
    </w:p>
    <w:p w:rsidR="00EB7F7A" w:rsidRPr="00AE33FD" w:rsidRDefault="00EB7F7A" w:rsidP="001D370E">
      <w:pPr>
        <w:spacing w:before="120"/>
      </w:pPr>
      <w:r w:rsidRPr="00EB7F7A">
        <w:t>Přiznané prvky krovu budou pro požadovanou požární odolnost R30 zajištěnu nátěrem.</w:t>
      </w:r>
    </w:p>
    <w:p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82" w:name="_Toc42850014"/>
      <w:r w:rsidRPr="00AE33FD">
        <w:rPr>
          <w:color w:val="000000"/>
        </w:rPr>
        <w:t>Plán kontroly spo</w:t>
      </w:r>
      <w:r w:rsidR="00A107D1" w:rsidRPr="00AE33FD">
        <w:rPr>
          <w:color w:val="000000"/>
        </w:rPr>
        <w:t>lehlivosti konstrukcí</w:t>
      </w:r>
      <w:bookmarkEnd w:id="82"/>
    </w:p>
    <w:p w:rsidR="007567CE" w:rsidRPr="00AE33FD" w:rsidRDefault="007567CE" w:rsidP="007567CE">
      <w:pPr>
        <w:spacing w:after="120"/>
      </w:pPr>
      <w:r w:rsidRPr="00AE33FD">
        <w:t>Stanovení kontrol spolehlivosti konstrukcí stavby z hlediska jejího budoucího využití.</w:t>
      </w:r>
    </w:p>
    <w:p w:rsidR="007567CE" w:rsidRPr="00AE33FD" w:rsidRDefault="007567CE" w:rsidP="007567CE">
      <w:pPr>
        <w:spacing w:after="120"/>
      </w:pPr>
      <w:r w:rsidRPr="00AE33FD">
        <w:t>Dle ČSN EN 1990, Zásady navrhování konstrukcí, budovy a další běžné stavby jsou 4. kategorie návrhové životnosti s informativní návrhovou životností 50let. Konstrukce stavby jsou navrhnuty na tuto kategorii životnosti dle této části projektu.</w:t>
      </w:r>
    </w:p>
    <w:p w:rsidR="007567CE" w:rsidRPr="00AE33FD" w:rsidRDefault="007567CE" w:rsidP="007567CE">
      <w:pPr>
        <w:pStyle w:val="bn2"/>
        <w:spacing w:before="0" w:after="120"/>
        <w:ind w:firstLine="709"/>
        <w:rPr>
          <w:bCs/>
        </w:rPr>
      </w:pPr>
      <w:r w:rsidRPr="00AE33FD">
        <w:rPr>
          <w:bCs/>
        </w:rPr>
        <w:t>Pokud nebudou během provozu zjištěny významnější trhliny nebo jiné skutečnosti, jež by mohly mít vliv na stabilitu a bezpečnost stavby, není nutné stanovení kontroly po dobu pouze 15let vzhledem k rekonstrukci staršího objektu oproti novému objektu, kde není nutná kontrola po dobu 50let. Při zjištění významnější poruchy je nutné povolat autorizovanou osobu.</w:t>
      </w:r>
    </w:p>
    <w:p w:rsidR="007567CE" w:rsidRPr="00AE33FD" w:rsidRDefault="007567CE" w:rsidP="007567CE">
      <w:pPr>
        <w:pStyle w:val="bn2"/>
        <w:spacing w:before="0" w:after="120"/>
        <w:ind w:firstLine="709"/>
        <w:rPr>
          <w:b/>
          <w:bCs/>
        </w:rPr>
      </w:pPr>
    </w:p>
    <w:p w:rsidR="007567CE" w:rsidRPr="00AE33FD" w:rsidRDefault="007567CE" w:rsidP="007567CE">
      <w:pPr>
        <w:pStyle w:val="bn2"/>
        <w:spacing w:before="0" w:after="120"/>
        <w:ind w:firstLine="709"/>
        <w:rPr>
          <w:b/>
          <w:bCs/>
        </w:rPr>
      </w:pPr>
      <w:r w:rsidRPr="00AE33FD">
        <w:rPr>
          <w:b/>
          <w:bCs/>
        </w:rPr>
        <w:t>Konstrukce jsou navrženy podle současně platných norem a předpisů a vyhoví požadavkům na mechanickou odolnost a stabilitu a neohrožují životy osob nebo zvířat.</w:t>
      </w:r>
    </w:p>
    <w:p w:rsidR="004519DA" w:rsidRPr="00AE33FD" w:rsidRDefault="004519DA" w:rsidP="004519DA"/>
    <w:p w:rsidR="007567CE" w:rsidRPr="00AE33FD" w:rsidRDefault="007567CE" w:rsidP="004519DA"/>
    <w:p w:rsidR="004519DA" w:rsidRPr="00AE33FD" w:rsidRDefault="004519DA" w:rsidP="004519DA"/>
    <w:p w:rsidR="004519DA" w:rsidRPr="00AE33FD" w:rsidRDefault="004519DA" w:rsidP="004519DA">
      <w:pPr>
        <w:rPr>
          <w:color w:val="000000"/>
        </w:rPr>
      </w:pPr>
    </w:p>
    <w:p w:rsidR="00051237" w:rsidRDefault="004519DA" w:rsidP="00EE7176">
      <w:pPr>
        <w:pStyle w:val="bn2"/>
        <w:tabs>
          <w:tab w:val="right" w:pos="9356"/>
        </w:tabs>
        <w:spacing w:before="0"/>
      </w:pPr>
      <w:r w:rsidRPr="00AE33FD">
        <w:t xml:space="preserve">Praha, </w:t>
      </w:r>
      <w:r w:rsidRPr="00AE33FD">
        <w:fldChar w:fldCharType="begin"/>
      </w:r>
      <w:r w:rsidRPr="00AE33FD">
        <w:instrText xml:space="preserve"> TIME \@ "d. MMMM yyyy" </w:instrText>
      </w:r>
      <w:r w:rsidRPr="00AE33FD">
        <w:fldChar w:fldCharType="separate"/>
      </w:r>
      <w:r w:rsidR="00CD1653">
        <w:rPr>
          <w:noProof/>
        </w:rPr>
        <w:t>23. července 2020</w:t>
      </w:r>
      <w:r w:rsidRPr="00AE33FD">
        <w:fldChar w:fldCharType="end"/>
      </w:r>
      <w:r w:rsidRPr="00AE33FD">
        <w:tab/>
        <w:t xml:space="preserve">Vypracoval: </w:t>
      </w:r>
      <w:r w:rsidR="002E1954" w:rsidRPr="00AE33FD">
        <w:t>I</w:t>
      </w:r>
      <w:r w:rsidRPr="00AE33FD">
        <w:t>ng. M</w:t>
      </w:r>
      <w:r w:rsidR="002E1954" w:rsidRPr="00AE33FD">
        <w:t>ichal Kubalík</w:t>
      </w:r>
    </w:p>
    <w:sectPr w:rsidR="00051237" w:rsidSect="0033251C">
      <w:headerReference w:type="default" r:id="rId7"/>
      <w:footerReference w:type="default" r:id="rId8"/>
      <w:pgSz w:w="11907" w:h="16840" w:code="9"/>
      <w:pgMar w:top="1418" w:right="1134" w:bottom="1276" w:left="1418" w:header="568" w:footer="3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70A3" w:rsidRDefault="00A570A3">
      <w:r>
        <w:separator/>
      </w:r>
    </w:p>
  </w:endnote>
  <w:endnote w:type="continuationSeparator" w:id="0">
    <w:p w:rsidR="00A570A3" w:rsidRDefault="00A5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1980" w:rsidRDefault="00781980" w:rsidP="002E1954">
    <w:pPr>
      <w:pStyle w:val="Zhlav"/>
      <w:rPr>
        <w:sz w:val="18"/>
        <w:szCs w:val="18"/>
      </w:rPr>
    </w:pPr>
    <w:r>
      <w:rPr>
        <w:sz w:val="18"/>
        <w:szCs w:val="18"/>
      </w:rPr>
      <w:t>Ing. Michal Kubalík – statika pozemních staveb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5B0017">
      <w:fldChar w:fldCharType="begin"/>
    </w:r>
    <w:r w:rsidRPr="005B0017">
      <w:instrText xml:space="preserve"> DATE \@ "d.M.yyyy" </w:instrText>
    </w:r>
    <w:r w:rsidRPr="005B0017">
      <w:fldChar w:fldCharType="separate"/>
    </w:r>
    <w:r w:rsidR="00CD1653">
      <w:rPr>
        <w:noProof/>
      </w:rPr>
      <w:t>23.7.2020</w:t>
    </w:r>
    <w:r w:rsidRPr="005B0017">
      <w:fldChar w:fldCharType="end"/>
    </w:r>
  </w:p>
  <w:p w:rsidR="00781980" w:rsidRPr="000E1D28" w:rsidRDefault="00781980" w:rsidP="005B0017">
    <w:pPr>
      <w:pStyle w:val="Zhlav"/>
      <w:spacing w:before="0"/>
      <w:rPr>
        <w:sz w:val="18"/>
        <w:szCs w:val="18"/>
      </w:rPr>
    </w:pPr>
    <w:r>
      <w:rPr>
        <w:sz w:val="18"/>
        <w:szCs w:val="18"/>
      </w:rPr>
      <w:t>tel.: 777 891 331, e-mail: michalkubalik@seznam.cz</w:t>
    </w:r>
    <w:r w:rsidRPr="000E1D28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70A3" w:rsidRDefault="00A570A3">
      <w:r>
        <w:separator/>
      </w:r>
    </w:p>
  </w:footnote>
  <w:footnote w:type="continuationSeparator" w:id="0">
    <w:p w:rsidR="00A570A3" w:rsidRDefault="00A5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1980" w:rsidRDefault="00781980">
    <w:pPr>
      <w:pStyle w:val="Zhlav"/>
      <w:tabs>
        <w:tab w:val="clear" w:pos="9356"/>
        <w:tab w:val="right" w:pos="9498"/>
      </w:tabs>
      <w:spacing w:before="0"/>
      <w:jc w:val="left"/>
      <w:rPr>
        <w:rStyle w:val="slostrnky"/>
      </w:rPr>
    </w:pPr>
    <w:r w:rsidRPr="00081408">
      <w:rPr>
        <w:rStyle w:val="slostrnky"/>
        <w:rFonts w:ascii="Times New Roman" w:hAnsi="Times New Roman"/>
        <w:sz w:val="22"/>
      </w:rPr>
      <w:t>Rekonstrukce výpravní budovy v žst Písek</w:t>
    </w:r>
    <w:r>
      <w:rPr>
        <w:rStyle w:val="slostrnky"/>
        <w:rFonts w:ascii="Times New Roman" w:hAnsi="Times New Roman"/>
        <w:sz w:val="22"/>
      </w:rPr>
      <w:t>, Pozemní objekty budov</w:t>
    </w:r>
    <w:r>
      <w:rPr>
        <w:rStyle w:val="slostrnky"/>
        <w:rFonts w:ascii="Arial" w:hAnsi="Arial"/>
        <w:sz w:val="20"/>
      </w:rPr>
      <w:tab/>
    </w:r>
    <w:r>
      <w:rPr>
        <w:sz w:val="22"/>
      </w:rPr>
      <w:t>strana -</w:t>
    </w:r>
    <w:r>
      <w:rPr>
        <w:rStyle w:val="slostrnky"/>
        <w:rFonts w:ascii="Times New Roman" w:hAnsi="Times New Roman"/>
        <w:sz w:val="22"/>
      </w:rPr>
      <w:fldChar w:fldCharType="begin"/>
    </w:r>
    <w:r>
      <w:rPr>
        <w:rStyle w:val="slostrnky"/>
        <w:rFonts w:ascii="Times New Roman" w:hAnsi="Times New Roman"/>
        <w:sz w:val="22"/>
      </w:rPr>
      <w:instrText xml:space="preserve"> PAGE </w:instrText>
    </w:r>
    <w:r>
      <w:rPr>
        <w:rStyle w:val="slostrnky"/>
        <w:rFonts w:ascii="Times New Roman" w:hAnsi="Times New Roman"/>
        <w:sz w:val="22"/>
      </w:rPr>
      <w:fldChar w:fldCharType="separate"/>
    </w:r>
    <w:r w:rsidR="008C0B36">
      <w:rPr>
        <w:rStyle w:val="slostrnky"/>
        <w:rFonts w:ascii="Times New Roman" w:hAnsi="Times New Roman"/>
        <w:noProof/>
        <w:sz w:val="22"/>
      </w:rPr>
      <w:t>2</w:t>
    </w:r>
    <w:r>
      <w:rPr>
        <w:rStyle w:val="slostrnky"/>
        <w:rFonts w:ascii="Times New Roman" w:hAnsi="Times New Roman"/>
        <w:sz w:val="22"/>
      </w:rPr>
      <w:fldChar w:fldCharType="end"/>
    </w:r>
    <w:r>
      <w:rPr>
        <w:rStyle w:val="slostrnky"/>
        <w:rFonts w:ascii="Times New Roman" w:hAnsi="Times New Roman"/>
        <w:sz w:val="22"/>
      </w:rPr>
      <w:t>-</w:t>
    </w:r>
    <w:r>
      <w:t xml:space="preserve">                                                                               </w:t>
    </w:r>
  </w:p>
  <w:p w:rsidR="00781980" w:rsidRDefault="00781980">
    <w:pPr>
      <w:pStyle w:val="Zhlav"/>
      <w:tabs>
        <w:tab w:val="clear" w:pos="9356"/>
        <w:tab w:val="right" w:pos="9498"/>
      </w:tabs>
      <w:spacing w:before="0"/>
    </w:pPr>
    <w:r>
      <w:rPr>
        <w:rStyle w:val="slostrnky"/>
        <w:rFonts w:ascii="Times New Roman" w:hAnsi="Times New Roman"/>
        <w:sz w:val="22"/>
      </w:rPr>
      <w:t>Technická zpráva</w:t>
    </w:r>
    <w:r>
      <w:rPr>
        <w:rStyle w:val="slostrnky"/>
        <w:rFonts w:ascii="Arial" w:hAnsi="Arial"/>
      </w:rPr>
      <w:tab/>
    </w:r>
    <w:r>
      <w:rPr>
        <w:rStyle w:val="slostrnky"/>
        <w:rFonts w:ascii="Arial" w:hAnsi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C76CE04"/>
    <w:lvl w:ilvl="0">
      <w:start w:val="1"/>
      <w:numFmt w:val="none"/>
      <w:pStyle w:val="Nadpis1"/>
      <w:lvlText w:val=""/>
      <w:lvlJc w:val="center"/>
      <w:pPr>
        <w:tabs>
          <w:tab w:val="num" w:pos="0"/>
        </w:tabs>
      </w:pPr>
    </w:lvl>
    <w:lvl w:ilvl="1">
      <w:start w:val="1"/>
      <w:numFmt w:val="decimal"/>
      <w:pStyle w:val="Nadpis2"/>
      <w:suff w:val="space"/>
      <w:lvlText w:val="%2."/>
      <w:lvlJc w:val="left"/>
    </w:lvl>
    <w:lvl w:ilvl="2">
      <w:start w:val="1"/>
      <w:numFmt w:val="decimal"/>
      <w:pStyle w:val="Nadpis3"/>
      <w:suff w:val="space"/>
      <w:lvlText w:val="%2.%3."/>
      <w:lvlJc w:val="left"/>
      <w:pPr>
        <w:ind w:left="708" w:hanging="708"/>
      </w:pPr>
    </w:lvl>
    <w:lvl w:ilvl="3">
      <w:start w:val="1"/>
      <w:numFmt w:val="decimal"/>
      <w:pStyle w:val="Nadpis4"/>
      <w:suff w:val="space"/>
      <w:lvlText w:val="%2.%3.%4."/>
      <w:lvlJc w:val="left"/>
      <w:pPr>
        <w:ind w:left="1701" w:hanging="1701"/>
      </w:pPr>
    </w:lvl>
    <w:lvl w:ilvl="4">
      <w:start w:val="1"/>
      <w:numFmt w:val="decimal"/>
      <w:pStyle w:val="Nadpis5"/>
      <w:lvlText w:val="%2.%3.%4.%5."/>
      <w:lvlJc w:val="left"/>
      <w:pPr>
        <w:tabs>
          <w:tab w:val="num" w:pos="0"/>
        </w:tabs>
        <w:ind w:left="2124" w:hanging="708"/>
      </w:pPr>
    </w:lvl>
    <w:lvl w:ilvl="5">
      <w:start w:val="1"/>
      <w:numFmt w:val="decimal"/>
      <w:pStyle w:val="Nadpis6"/>
      <w:lvlText w:val="%2.%3.%4.%5.%6."/>
      <w:lvlJc w:val="left"/>
      <w:pPr>
        <w:tabs>
          <w:tab w:val="num" w:pos="0"/>
        </w:tabs>
        <w:ind w:left="2832" w:hanging="708"/>
      </w:pPr>
    </w:lvl>
    <w:lvl w:ilvl="6">
      <w:start w:val="1"/>
      <w:numFmt w:val="decimal"/>
      <w:pStyle w:val="Nadpis7"/>
      <w:lvlText w:val="%2.%3.%4.%5.%6.%7."/>
      <w:lvlJc w:val="left"/>
      <w:pPr>
        <w:tabs>
          <w:tab w:val="num" w:pos="0"/>
        </w:tabs>
        <w:ind w:left="3540" w:hanging="708"/>
      </w:pPr>
    </w:lvl>
    <w:lvl w:ilvl="7">
      <w:start w:val="1"/>
      <w:numFmt w:val="decimal"/>
      <w:pStyle w:val="Nadpis8"/>
      <w:lvlText w:val="%2.%3.%4.%5.%6.%7.%8."/>
      <w:lvlJc w:val="left"/>
      <w:pPr>
        <w:tabs>
          <w:tab w:val="num" w:pos="0"/>
        </w:tabs>
        <w:ind w:left="4248" w:hanging="708"/>
      </w:pPr>
    </w:lvl>
    <w:lvl w:ilvl="8">
      <w:start w:val="1"/>
      <w:numFmt w:val="decimal"/>
      <w:pStyle w:val="Nadpis9"/>
      <w:lvlText w:val="%2.%3.%4.%5.%6.%7.%8.%9."/>
      <w:lvlJc w:val="left"/>
      <w:pPr>
        <w:tabs>
          <w:tab w:val="num" w:pos="0"/>
        </w:tabs>
        <w:ind w:left="4956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985D51"/>
    <w:multiLevelType w:val="hybridMultilevel"/>
    <w:tmpl w:val="4C109B12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1E38AAAE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D351E3"/>
    <w:multiLevelType w:val="hybridMultilevel"/>
    <w:tmpl w:val="52946246"/>
    <w:lvl w:ilvl="0" w:tplc="040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652DA9"/>
    <w:multiLevelType w:val="hybridMultilevel"/>
    <w:tmpl w:val="0D166F08"/>
    <w:lvl w:ilvl="0" w:tplc="FFFFFFFF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A1E29"/>
    <w:multiLevelType w:val="hybridMultilevel"/>
    <w:tmpl w:val="7382DC0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A64F0E"/>
    <w:multiLevelType w:val="multilevel"/>
    <w:tmpl w:val="704CB55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3B3DEA"/>
    <w:multiLevelType w:val="hybridMultilevel"/>
    <w:tmpl w:val="1A126DB6"/>
    <w:lvl w:ilvl="0" w:tplc="BC024D64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E787896"/>
    <w:multiLevelType w:val="hybridMultilevel"/>
    <w:tmpl w:val="3FACFFE0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8722E0"/>
    <w:multiLevelType w:val="hybridMultilevel"/>
    <w:tmpl w:val="5D482224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F966BC"/>
    <w:multiLevelType w:val="hybridMultilevel"/>
    <w:tmpl w:val="01C89C90"/>
    <w:lvl w:ilvl="0" w:tplc="FFFFFFFF">
      <w:start w:val="1"/>
      <w:numFmt w:val="bullet"/>
      <w:lvlText w:val="–"/>
      <w:legacy w:legacy="1" w:legacySpace="0" w:legacyIndent="283"/>
      <w:lvlJc w:val="left"/>
      <w:pPr>
        <w:ind w:left="1555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4AA6C75"/>
    <w:multiLevelType w:val="hybridMultilevel"/>
    <w:tmpl w:val="3DA085FE"/>
    <w:lvl w:ilvl="0" w:tplc="BC024D6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7751E55"/>
    <w:multiLevelType w:val="hybridMultilevel"/>
    <w:tmpl w:val="413C2C6C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7EC833F2">
      <w:start w:val="2"/>
      <w:numFmt w:val="bullet"/>
      <w:lvlText w:val="-"/>
      <w:lvlJc w:val="left"/>
      <w:pPr>
        <w:tabs>
          <w:tab w:val="num" w:pos="2689"/>
        </w:tabs>
        <w:ind w:left="2689" w:hanging="90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4992C85"/>
    <w:multiLevelType w:val="hybridMultilevel"/>
    <w:tmpl w:val="704CB55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F7641C"/>
    <w:multiLevelType w:val="hybridMultilevel"/>
    <w:tmpl w:val="BB706AE4"/>
    <w:lvl w:ilvl="0" w:tplc="FFFFFFFF">
      <w:start w:val="1"/>
      <w:numFmt w:val="bullet"/>
      <w:lvlText w:val="–"/>
      <w:legacy w:legacy="1" w:legacySpace="36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46E298A"/>
    <w:multiLevelType w:val="hybridMultilevel"/>
    <w:tmpl w:val="57FCE7BA"/>
    <w:lvl w:ilvl="0" w:tplc="BC024D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408D8"/>
    <w:multiLevelType w:val="hybridMultilevel"/>
    <w:tmpl w:val="E2EAC322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BC1831"/>
    <w:multiLevelType w:val="hybridMultilevel"/>
    <w:tmpl w:val="7DA46F2A"/>
    <w:lvl w:ilvl="0" w:tplc="BC024D6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81E7B34"/>
    <w:multiLevelType w:val="hybridMultilevel"/>
    <w:tmpl w:val="64D24574"/>
    <w:lvl w:ilvl="0" w:tplc="BC024D64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EE2095C"/>
    <w:multiLevelType w:val="hybridMultilevel"/>
    <w:tmpl w:val="9BB85A8E"/>
    <w:lvl w:ilvl="0" w:tplc="FFFFFFFF">
      <w:start w:val="1"/>
      <w:numFmt w:val="bullet"/>
      <w:lvlText w:val="–"/>
      <w:legacy w:legacy="1" w:legacySpace="36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88" w:hanging="283"/>
        </w:pPr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</w:num>
  <w:num w:numId="5">
    <w:abstractNumId w:val="1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88" w:hanging="283"/>
        </w:pPr>
        <w:rPr>
          <w:rFonts w:ascii="Times New Roman" w:hAnsi="Times New Roman" w:cs="Times New Roman" w:hint="default"/>
        </w:rPr>
      </w:lvl>
    </w:lvlOverride>
  </w:num>
  <w:num w:numId="6">
    <w:abstractNumId w:val="18"/>
  </w:num>
  <w:num w:numId="7">
    <w:abstractNumId w:val="8"/>
  </w:num>
  <w:num w:numId="8">
    <w:abstractNumId w:val="15"/>
  </w:num>
  <w:num w:numId="9">
    <w:abstractNumId w:val="11"/>
  </w:num>
  <w:num w:numId="10">
    <w:abstractNumId w:val="7"/>
  </w:num>
  <w:num w:numId="11">
    <w:abstractNumId w:val="16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2"/>
  </w:num>
  <w:num w:numId="17">
    <w:abstractNumId w:val="9"/>
  </w:num>
  <w:num w:numId="18">
    <w:abstractNumId w:val="5"/>
  </w:num>
  <w:num w:numId="19">
    <w:abstractNumId w:val="13"/>
  </w:num>
  <w:num w:numId="20">
    <w:abstractNumId w:val="6"/>
  </w:num>
  <w:num w:numId="21">
    <w:abstractNumId w:val="19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111F"/>
    <w:rsid w:val="000009BF"/>
    <w:rsid w:val="00005B57"/>
    <w:rsid w:val="00010F61"/>
    <w:rsid w:val="000116EF"/>
    <w:rsid w:val="00013E9A"/>
    <w:rsid w:val="0002021E"/>
    <w:rsid w:val="00022BDB"/>
    <w:rsid w:val="000252FD"/>
    <w:rsid w:val="000266D4"/>
    <w:rsid w:val="00031602"/>
    <w:rsid w:val="00033631"/>
    <w:rsid w:val="00034B14"/>
    <w:rsid w:val="0003603D"/>
    <w:rsid w:val="00036B22"/>
    <w:rsid w:val="00040953"/>
    <w:rsid w:val="0004105D"/>
    <w:rsid w:val="00043B22"/>
    <w:rsid w:val="00046483"/>
    <w:rsid w:val="00046532"/>
    <w:rsid w:val="00051237"/>
    <w:rsid w:val="00052787"/>
    <w:rsid w:val="000531B5"/>
    <w:rsid w:val="00057C33"/>
    <w:rsid w:val="0006457F"/>
    <w:rsid w:val="000655EA"/>
    <w:rsid w:val="00070DDD"/>
    <w:rsid w:val="000717BF"/>
    <w:rsid w:val="00077678"/>
    <w:rsid w:val="00080112"/>
    <w:rsid w:val="00086D9C"/>
    <w:rsid w:val="00091BC0"/>
    <w:rsid w:val="00095A2F"/>
    <w:rsid w:val="00095B18"/>
    <w:rsid w:val="000B036B"/>
    <w:rsid w:val="000B0910"/>
    <w:rsid w:val="000B34E1"/>
    <w:rsid w:val="000C2BFE"/>
    <w:rsid w:val="000C413D"/>
    <w:rsid w:val="000C789A"/>
    <w:rsid w:val="000D096A"/>
    <w:rsid w:val="000D2C37"/>
    <w:rsid w:val="000D328B"/>
    <w:rsid w:val="000E09E9"/>
    <w:rsid w:val="000E1D28"/>
    <w:rsid w:val="000E48FC"/>
    <w:rsid w:val="000E6E07"/>
    <w:rsid w:val="000F6B1E"/>
    <w:rsid w:val="000F6B51"/>
    <w:rsid w:val="00101A8A"/>
    <w:rsid w:val="00102CA9"/>
    <w:rsid w:val="001057C0"/>
    <w:rsid w:val="00106ACD"/>
    <w:rsid w:val="00117CEB"/>
    <w:rsid w:val="0012576D"/>
    <w:rsid w:val="001309BC"/>
    <w:rsid w:val="00130DA0"/>
    <w:rsid w:val="00133A8E"/>
    <w:rsid w:val="00133E0F"/>
    <w:rsid w:val="0013734D"/>
    <w:rsid w:val="00141C8D"/>
    <w:rsid w:val="00145848"/>
    <w:rsid w:val="00151DD1"/>
    <w:rsid w:val="00154C75"/>
    <w:rsid w:val="00160400"/>
    <w:rsid w:val="0016433E"/>
    <w:rsid w:val="00165860"/>
    <w:rsid w:val="0017557C"/>
    <w:rsid w:val="001756F1"/>
    <w:rsid w:val="00175B3D"/>
    <w:rsid w:val="00177A30"/>
    <w:rsid w:val="001825EA"/>
    <w:rsid w:val="00184363"/>
    <w:rsid w:val="00184C09"/>
    <w:rsid w:val="001864D6"/>
    <w:rsid w:val="00196EF9"/>
    <w:rsid w:val="00197518"/>
    <w:rsid w:val="001A0B1F"/>
    <w:rsid w:val="001A3BBB"/>
    <w:rsid w:val="001A4455"/>
    <w:rsid w:val="001A6284"/>
    <w:rsid w:val="001A6AC4"/>
    <w:rsid w:val="001B17A4"/>
    <w:rsid w:val="001B3406"/>
    <w:rsid w:val="001B711F"/>
    <w:rsid w:val="001C15D7"/>
    <w:rsid w:val="001C348F"/>
    <w:rsid w:val="001D370E"/>
    <w:rsid w:val="001D4A56"/>
    <w:rsid w:val="001D7DC8"/>
    <w:rsid w:val="001E1F72"/>
    <w:rsid w:val="001E6312"/>
    <w:rsid w:val="001F1179"/>
    <w:rsid w:val="001F6E07"/>
    <w:rsid w:val="00200156"/>
    <w:rsid w:val="002025D2"/>
    <w:rsid w:val="00203CA4"/>
    <w:rsid w:val="00205032"/>
    <w:rsid w:val="002071AA"/>
    <w:rsid w:val="00211E90"/>
    <w:rsid w:val="002144B4"/>
    <w:rsid w:val="0022511C"/>
    <w:rsid w:val="00230292"/>
    <w:rsid w:val="0023562B"/>
    <w:rsid w:val="00235A01"/>
    <w:rsid w:val="00243789"/>
    <w:rsid w:val="00244A21"/>
    <w:rsid w:val="00247F3F"/>
    <w:rsid w:val="0025091C"/>
    <w:rsid w:val="00260DE9"/>
    <w:rsid w:val="00261AE0"/>
    <w:rsid w:val="002632A5"/>
    <w:rsid w:val="00263CF4"/>
    <w:rsid w:val="00272381"/>
    <w:rsid w:val="00274AC1"/>
    <w:rsid w:val="002752CC"/>
    <w:rsid w:val="00291ABB"/>
    <w:rsid w:val="00291C67"/>
    <w:rsid w:val="002929CA"/>
    <w:rsid w:val="002940CD"/>
    <w:rsid w:val="00295F17"/>
    <w:rsid w:val="00297337"/>
    <w:rsid w:val="002A04D4"/>
    <w:rsid w:val="002A5042"/>
    <w:rsid w:val="002B111F"/>
    <w:rsid w:val="002B7BAA"/>
    <w:rsid w:val="002B7EE5"/>
    <w:rsid w:val="002C08E9"/>
    <w:rsid w:val="002D310E"/>
    <w:rsid w:val="002D41FF"/>
    <w:rsid w:val="002D5DED"/>
    <w:rsid w:val="002E1954"/>
    <w:rsid w:val="002E27D2"/>
    <w:rsid w:val="002E4633"/>
    <w:rsid w:val="002E47C3"/>
    <w:rsid w:val="002E486B"/>
    <w:rsid w:val="002E7237"/>
    <w:rsid w:val="002F4AFD"/>
    <w:rsid w:val="00301136"/>
    <w:rsid w:val="003023AE"/>
    <w:rsid w:val="00304424"/>
    <w:rsid w:val="00305B83"/>
    <w:rsid w:val="00310008"/>
    <w:rsid w:val="003108F3"/>
    <w:rsid w:val="0031117F"/>
    <w:rsid w:val="00311290"/>
    <w:rsid w:val="00320634"/>
    <w:rsid w:val="00324D6F"/>
    <w:rsid w:val="0033251C"/>
    <w:rsid w:val="00335891"/>
    <w:rsid w:val="003362A6"/>
    <w:rsid w:val="00337EF6"/>
    <w:rsid w:val="0034106F"/>
    <w:rsid w:val="00341693"/>
    <w:rsid w:val="00352F09"/>
    <w:rsid w:val="0035360B"/>
    <w:rsid w:val="003537E6"/>
    <w:rsid w:val="00356C7E"/>
    <w:rsid w:val="0036349C"/>
    <w:rsid w:val="00365C46"/>
    <w:rsid w:val="003668E4"/>
    <w:rsid w:val="003718D7"/>
    <w:rsid w:val="00376695"/>
    <w:rsid w:val="003820F6"/>
    <w:rsid w:val="00382BAE"/>
    <w:rsid w:val="00385E73"/>
    <w:rsid w:val="00391E2B"/>
    <w:rsid w:val="003954B1"/>
    <w:rsid w:val="00395979"/>
    <w:rsid w:val="00396E51"/>
    <w:rsid w:val="00397BD9"/>
    <w:rsid w:val="003A4E8F"/>
    <w:rsid w:val="003A55DC"/>
    <w:rsid w:val="003A6CC5"/>
    <w:rsid w:val="003B652E"/>
    <w:rsid w:val="003B7B07"/>
    <w:rsid w:val="003C01A7"/>
    <w:rsid w:val="003C0598"/>
    <w:rsid w:val="003C2628"/>
    <w:rsid w:val="003C6C39"/>
    <w:rsid w:val="003D4DD5"/>
    <w:rsid w:val="003D71DF"/>
    <w:rsid w:val="003E483F"/>
    <w:rsid w:val="003F13D3"/>
    <w:rsid w:val="003F1F1D"/>
    <w:rsid w:val="003F6E8F"/>
    <w:rsid w:val="003F7ECE"/>
    <w:rsid w:val="00400286"/>
    <w:rsid w:val="00404A63"/>
    <w:rsid w:val="00413D3B"/>
    <w:rsid w:val="00425622"/>
    <w:rsid w:val="00431F11"/>
    <w:rsid w:val="00432294"/>
    <w:rsid w:val="00432E1A"/>
    <w:rsid w:val="00445CF3"/>
    <w:rsid w:val="00446757"/>
    <w:rsid w:val="004471BA"/>
    <w:rsid w:val="004519DA"/>
    <w:rsid w:val="0045336C"/>
    <w:rsid w:val="00453898"/>
    <w:rsid w:val="00453922"/>
    <w:rsid w:val="004551F2"/>
    <w:rsid w:val="00464512"/>
    <w:rsid w:val="004704C1"/>
    <w:rsid w:val="00480CA2"/>
    <w:rsid w:val="00482CC0"/>
    <w:rsid w:val="00482F33"/>
    <w:rsid w:val="00485500"/>
    <w:rsid w:val="00487E4D"/>
    <w:rsid w:val="004A5F93"/>
    <w:rsid w:val="004B4A5E"/>
    <w:rsid w:val="004C5A47"/>
    <w:rsid w:val="004C654D"/>
    <w:rsid w:val="004D1341"/>
    <w:rsid w:val="004D4555"/>
    <w:rsid w:val="004E2D3F"/>
    <w:rsid w:val="004F2A1E"/>
    <w:rsid w:val="004F2EFA"/>
    <w:rsid w:val="004F3295"/>
    <w:rsid w:val="004F37E4"/>
    <w:rsid w:val="004F39FE"/>
    <w:rsid w:val="004F4995"/>
    <w:rsid w:val="004F68ED"/>
    <w:rsid w:val="005004A6"/>
    <w:rsid w:val="005034B5"/>
    <w:rsid w:val="00511BAC"/>
    <w:rsid w:val="005152DE"/>
    <w:rsid w:val="00515676"/>
    <w:rsid w:val="0051575F"/>
    <w:rsid w:val="00516589"/>
    <w:rsid w:val="00516F03"/>
    <w:rsid w:val="00520D14"/>
    <w:rsid w:val="0052106D"/>
    <w:rsid w:val="00523444"/>
    <w:rsid w:val="00524AE5"/>
    <w:rsid w:val="00530991"/>
    <w:rsid w:val="0054291F"/>
    <w:rsid w:val="00542E1B"/>
    <w:rsid w:val="00542FBA"/>
    <w:rsid w:val="00552677"/>
    <w:rsid w:val="00553300"/>
    <w:rsid w:val="00553C07"/>
    <w:rsid w:val="00561013"/>
    <w:rsid w:val="005735B0"/>
    <w:rsid w:val="005818A2"/>
    <w:rsid w:val="00585056"/>
    <w:rsid w:val="00586DA6"/>
    <w:rsid w:val="005914D1"/>
    <w:rsid w:val="005929FE"/>
    <w:rsid w:val="00592DB1"/>
    <w:rsid w:val="005930F2"/>
    <w:rsid w:val="00593C6D"/>
    <w:rsid w:val="005A2A90"/>
    <w:rsid w:val="005A7000"/>
    <w:rsid w:val="005B0017"/>
    <w:rsid w:val="005B37EA"/>
    <w:rsid w:val="005C27B2"/>
    <w:rsid w:val="005C4108"/>
    <w:rsid w:val="005C4DAA"/>
    <w:rsid w:val="005C7F3A"/>
    <w:rsid w:val="005D1CEC"/>
    <w:rsid w:val="005D21E5"/>
    <w:rsid w:val="005D52F4"/>
    <w:rsid w:val="005D6375"/>
    <w:rsid w:val="005D7258"/>
    <w:rsid w:val="005D7883"/>
    <w:rsid w:val="005D7F49"/>
    <w:rsid w:val="005E1F26"/>
    <w:rsid w:val="005E3B8C"/>
    <w:rsid w:val="005E4C7E"/>
    <w:rsid w:val="005E7C97"/>
    <w:rsid w:val="005F457A"/>
    <w:rsid w:val="005F5C77"/>
    <w:rsid w:val="005F7351"/>
    <w:rsid w:val="005F77AD"/>
    <w:rsid w:val="00600BE5"/>
    <w:rsid w:val="006067DF"/>
    <w:rsid w:val="00614067"/>
    <w:rsid w:val="006150A5"/>
    <w:rsid w:val="00616934"/>
    <w:rsid w:val="00617C79"/>
    <w:rsid w:val="00623894"/>
    <w:rsid w:val="0062640F"/>
    <w:rsid w:val="006301D8"/>
    <w:rsid w:val="006354E1"/>
    <w:rsid w:val="0063750E"/>
    <w:rsid w:val="00643C39"/>
    <w:rsid w:val="00646AF3"/>
    <w:rsid w:val="00652671"/>
    <w:rsid w:val="00655A2A"/>
    <w:rsid w:val="00655DB4"/>
    <w:rsid w:val="00656CFB"/>
    <w:rsid w:val="00660D25"/>
    <w:rsid w:val="0067573C"/>
    <w:rsid w:val="00675C40"/>
    <w:rsid w:val="00681629"/>
    <w:rsid w:val="00683A2E"/>
    <w:rsid w:val="00683BF0"/>
    <w:rsid w:val="00683DD7"/>
    <w:rsid w:val="00692F2A"/>
    <w:rsid w:val="00695319"/>
    <w:rsid w:val="006A27ED"/>
    <w:rsid w:val="006A33D9"/>
    <w:rsid w:val="006A6046"/>
    <w:rsid w:val="006B00B1"/>
    <w:rsid w:val="006B19B3"/>
    <w:rsid w:val="006B1AC8"/>
    <w:rsid w:val="006B343E"/>
    <w:rsid w:val="006C017F"/>
    <w:rsid w:val="006C2C06"/>
    <w:rsid w:val="006C6573"/>
    <w:rsid w:val="006D2B93"/>
    <w:rsid w:val="006D2EA7"/>
    <w:rsid w:val="006D2F08"/>
    <w:rsid w:val="006E254A"/>
    <w:rsid w:val="006E25CA"/>
    <w:rsid w:val="006E5F17"/>
    <w:rsid w:val="006E7304"/>
    <w:rsid w:val="006F406E"/>
    <w:rsid w:val="0070167C"/>
    <w:rsid w:val="00717A89"/>
    <w:rsid w:val="007205E1"/>
    <w:rsid w:val="00722C6B"/>
    <w:rsid w:val="00723708"/>
    <w:rsid w:val="00724EFE"/>
    <w:rsid w:val="007264B1"/>
    <w:rsid w:val="00727589"/>
    <w:rsid w:val="007325F0"/>
    <w:rsid w:val="00734720"/>
    <w:rsid w:val="00735879"/>
    <w:rsid w:val="00735A72"/>
    <w:rsid w:val="00735C6C"/>
    <w:rsid w:val="00736756"/>
    <w:rsid w:val="00736C63"/>
    <w:rsid w:val="007372AE"/>
    <w:rsid w:val="0074180A"/>
    <w:rsid w:val="0074191A"/>
    <w:rsid w:val="00746874"/>
    <w:rsid w:val="00747A2C"/>
    <w:rsid w:val="00751F55"/>
    <w:rsid w:val="00753B25"/>
    <w:rsid w:val="007567CE"/>
    <w:rsid w:val="00756AC4"/>
    <w:rsid w:val="0076515D"/>
    <w:rsid w:val="007669C5"/>
    <w:rsid w:val="00775685"/>
    <w:rsid w:val="00775AF1"/>
    <w:rsid w:val="00780E63"/>
    <w:rsid w:val="00781980"/>
    <w:rsid w:val="007846FE"/>
    <w:rsid w:val="007857EA"/>
    <w:rsid w:val="007867B2"/>
    <w:rsid w:val="00787104"/>
    <w:rsid w:val="0079726D"/>
    <w:rsid w:val="007A4D70"/>
    <w:rsid w:val="007B021E"/>
    <w:rsid w:val="007B0B1D"/>
    <w:rsid w:val="007B0CC7"/>
    <w:rsid w:val="007B0EE1"/>
    <w:rsid w:val="007B24D7"/>
    <w:rsid w:val="007B3701"/>
    <w:rsid w:val="007C087C"/>
    <w:rsid w:val="007C0E6B"/>
    <w:rsid w:val="007D3402"/>
    <w:rsid w:val="007D34FF"/>
    <w:rsid w:val="007D397A"/>
    <w:rsid w:val="007D3DEF"/>
    <w:rsid w:val="007D69F3"/>
    <w:rsid w:val="007D7E28"/>
    <w:rsid w:val="007F20B9"/>
    <w:rsid w:val="007F5098"/>
    <w:rsid w:val="007F545B"/>
    <w:rsid w:val="007F68F1"/>
    <w:rsid w:val="00805734"/>
    <w:rsid w:val="00806257"/>
    <w:rsid w:val="00814010"/>
    <w:rsid w:val="0081443E"/>
    <w:rsid w:val="00814473"/>
    <w:rsid w:val="00815ACD"/>
    <w:rsid w:val="00816F2D"/>
    <w:rsid w:val="00823E9C"/>
    <w:rsid w:val="008267C4"/>
    <w:rsid w:val="00826ACD"/>
    <w:rsid w:val="00826AD6"/>
    <w:rsid w:val="00836DA6"/>
    <w:rsid w:val="0084030B"/>
    <w:rsid w:val="00840A2E"/>
    <w:rsid w:val="00845281"/>
    <w:rsid w:val="00846700"/>
    <w:rsid w:val="00850881"/>
    <w:rsid w:val="008546C7"/>
    <w:rsid w:val="00861283"/>
    <w:rsid w:val="00864361"/>
    <w:rsid w:val="00866618"/>
    <w:rsid w:val="00870FE0"/>
    <w:rsid w:val="00871405"/>
    <w:rsid w:val="00873813"/>
    <w:rsid w:val="008809BF"/>
    <w:rsid w:val="00881091"/>
    <w:rsid w:val="00883755"/>
    <w:rsid w:val="00884147"/>
    <w:rsid w:val="00896BB2"/>
    <w:rsid w:val="008A3C1C"/>
    <w:rsid w:val="008B052B"/>
    <w:rsid w:val="008B1448"/>
    <w:rsid w:val="008B1709"/>
    <w:rsid w:val="008B30DD"/>
    <w:rsid w:val="008B50F4"/>
    <w:rsid w:val="008B5F67"/>
    <w:rsid w:val="008C0818"/>
    <w:rsid w:val="008C0B36"/>
    <w:rsid w:val="008C11F0"/>
    <w:rsid w:val="008C25D7"/>
    <w:rsid w:val="008C6BF8"/>
    <w:rsid w:val="008D39DD"/>
    <w:rsid w:val="008D4FFE"/>
    <w:rsid w:val="008D5463"/>
    <w:rsid w:val="008E76FF"/>
    <w:rsid w:val="008F1976"/>
    <w:rsid w:val="008F3488"/>
    <w:rsid w:val="008F3928"/>
    <w:rsid w:val="008F4B2C"/>
    <w:rsid w:val="009106CE"/>
    <w:rsid w:val="00914651"/>
    <w:rsid w:val="0092209E"/>
    <w:rsid w:val="0092744D"/>
    <w:rsid w:val="00927BDA"/>
    <w:rsid w:val="00932BB0"/>
    <w:rsid w:val="009337FB"/>
    <w:rsid w:val="00933CE4"/>
    <w:rsid w:val="00936ADB"/>
    <w:rsid w:val="00940325"/>
    <w:rsid w:val="00940625"/>
    <w:rsid w:val="0094145E"/>
    <w:rsid w:val="009423BC"/>
    <w:rsid w:val="0094269C"/>
    <w:rsid w:val="009434DD"/>
    <w:rsid w:val="0094431F"/>
    <w:rsid w:val="009604A8"/>
    <w:rsid w:val="00963A62"/>
    <w:rsid w:val="0096508D"/>
    <w:rsid w:val="00973A44"/>
    <w:rsid w:val="0097799E"/>
    <w:rsid w:val="009867A4"/>
    <w:rsid w:val="0098697A"/>
    <w:rsid w:val="00992A60"/>
    <w:rsid w:val="0099568A"/>
    <w:rsid w:val="009964D2"/>
    <w:rsid w:val="009A2B65"/>
    <w:rsid w:val="009A3A86"/>
    <w:rsid w:val="009B0149"/>
    <w:rsid w:val="009B3412"/>
    <w:rsid w:val="009B589D"/>
    <w:rsid w:val="009B65BF"/>
    <w:rsid w:val="009B6D81"/>
    <w:rsid w:val="009C1F3B"/>
    <w:rsid w:val="009D0AA2"/>
    <w:rsid w:val="009D4D61"/>
    <w:rsid w:val="009D5681"/>
    <w:rsid w:val="009E14BA"/>
    <w:rsid w:val="009E1662"/>
    <w:rsid w:val="009E1D9A"/>
    <w:rsid w:val="009E2D8A"/>
    <w:rsid w:val="009E46C9"/>
    <w:rsid w:val="009E4FC5"/>
    <w:rsid w:val="009E6F43"/>
    <w:rsid w:val="009F11B8"/>
    <w:rsid w:val="009F3B8A"/>
    <w:rsid w:val="009F3EE2"/>
    <w:rsid w:val="009F5779"/>
    <w:rsid w:val="00A017E1"/>
    <w:rsid w:val="00A03463"/>
    <w:rsid w:val="00A036FB"/>
    <w:rsid w:val="00A044A2"/>
    <w:rsid w:val="00A107D1"/>
    <w:rsid w:val="00A112C1"/>
    <w:rsid w:val="00A13BD5"/>
    <w:rsid w:val="00A21D8E"/>
    <w:rsid w:val="00A23615"/>
    <w:rsid w:val="00A261AC"/>
    <w:rsid w:val="00A27C81"/>
    <w:rsid w:val="00A31E68"/>
    <w:rsid w:val="00A37067"/>
    <w:rsid w:val="00A373BC"/>
    <w:rsid w:val="00A469AE"/>
    <w:rsid w:val="00A46EAD"/>
    <w:rsid w:val="00A47F81"/>
    <w:rsid w:val="00A52F30"/>
    <w:rsid w:val="00A54A28"/>
    <w:rsid w:val="00A54F3E"/>
    <w:rsid w:val="00A570A3"/>
    <w:rsid w:val="00A57123"/>
    <w:rsid w:val="00A664D5"/>
    <w:rsid w:val="00A70BC5"/>
    <w:rsid w:val="00A71F42"/>
    <w:rsid w:val="00A72599"/>
    <w:rsid w:val="00A75E40"/>
    <w:rsid w:val="00A81EBF"/>
    <w:rsid w:val="00A84E5B"/>
    <w:rsid w:val="00A85CDA"/>
    <w:rsid w:val="00A86ABD"/>
    <w:rsid w:val="00A8771A"/>
    <w:rsid w:val="00A87A8E"/>
    <w:rsid w:val="00A9292E"/>
    <w:rsid w:val="00A93191"/>
    <w:rsid w:val="00A96855"/>
    <w:rsid w:val="00A9704A"/>
    <w:rsid w:val="00A9777B"/>
    <w:rsid w:val="00A97F61"/>
    <w:rsid w:val="00AA202C"/>
    <w:rsid w:val="00AB085D"/>
    <w:rsid w:val="00AC2CAD"/>
    <w:rsid w:val="00AC689A"/>
    <w:rsid w:val="00AD1CB7"/>
    <w:rsid w:val="00AE1E28"/>
    <w:rsid w:val="00AE33FD"/>
    <w:rsid w:val="00AE36D0"/>
    <w:rsid w:val="00AE51FF"/>
    <w:rsid w:val="00AF1041"/>
    <w:rsid w:val="00AF338C"/>
    <w:rsid w:val="00AF34F8"/>
    <w:rsid w:val="00AF43A3"/>
    <w:rsid w:val="00B00B1D"/>
    <w:rsid w:val="00B04043"/>
    <w:rsid w:val="00B06695"/>
    <w:rsid w:val="00B115AF"/>
    <w:rsid w:val="00B14EE7"/>
    <w:rsid w:val="00B1605A"/>
    <w:rsid w:val="00B1670F"/>
    <w:rsid w:val="00B20F28"/>
    <w:rsid w:val="00B245DA"/>
    <w:rsid w:val="00B30190"/>
    <w:rsid w:val="00B3138C"/>
    <w:rsid w:val="00B44489"/>
    <w:rsid w:val="00B44EFA"/>
    <w:rsid w:val="00B47B8B"/>
    <w:rsid w:val="00B47D6A"/>
    <w:rsid w:val="00B50CA3"/>
    <w:rsid w:val="00B54553"/>
    <w:rsid w:val="00B55786"/>
    <w:rsid w:val="00B640CD"/>
    <w:rsid w:val="00B65FCD"/>
    <w:rsid w:val="00B67E7A"/>
    <w:rsid w:val="00B7306F"/>
    <w:rsid w:val="00B76A05"/>
    <w:rsid w:val="00B853A0"/>
    <w:rsid w:val="00B93000"/>
    <w:rsid w:val="00B93ABF"/>
    <w:rsid w:val="00BA1E39"/>
    <w:rsid w:val="00BA3A4D"/>
    <w:rsid w:val="00BA732A"/>
    <w:rsid w:val="00BB2B44"/>
    <w:rsid w:val="00BB33C2"/>
    <w:rsid w:val="00BC5190"/>
    <w:rsid w:val="00BD0A78"/>
    <w:rsid w:val="00BD0C61"/>
    <w:rsid w:val="00BD4836"/>
    <w:rsid w:val="00BD77A1"/>
    <w:rsid w:val="00BE04DF"/>
    <w:rsid w:val="00BF191D"/>
    <w:rsid w:val="00BF5BC4"/>
    <w:rsid w:val="00C069E8"/>
    <w:rsid w:val="00C1020C"/>
    <w:rsid w:val="00C10DA9"/>
    <w:rsid w:val="00C14C49"/>
    <w:rsid w:val="00C17FB8"/>
    <w:rsid w:val="00C21B83"/>
    <w:rsid w:val="00C229F8"/>
    <w:rsid w:val="00C22A76"/>
    <w:rsid w:val="00C336CF"/>
    <w:rsid w:val="00C41139"/>
    <w:rsid w:val="00C421D2"/>
    <w:rsid w:val="00C45FF9"/>
    <w:rsid w:val="00C46004"/>
    <w:rsid w:val="00C46AFB"/>
    <w:rsid w:val="00C5023A"/>
    <w:rsid w:val="00C51144"/>
    <w:rsid w:val="00C523BA"/>
    <w:rsid w:val="00C55DE9"/>
    <w:rsid w:val="00C569D3"/>
    <w:rsid w:val="00C57ECC"/>
    <w:rsid w:val="00C6132D"/>
    <w:rsid w:val="00C6785F"/>
    <w:rsid w:val="00C75877"/>
    <w:rsid w:val="00C81D53"/>
    <w:rsid w:val="00C8669C"/>
    <w:rsid w:val="00C9002A"/>
    <w:rsid w:val="00C90229"/>
    <w:rsid w:val="00C92AD0"/>
    <w:rsid w:val="00C93591"/>
    <w:rsid w:val="00C965F5"/>
    <w:rsid w:val="00C97D15"/>
    <w:rsid w:val="00CA1A83"/>
    <w:rsid w:val="00CA31A4"/>
    <w:rsid w:val="00CA6740"/>
    <w:rsid w:val="00CB4B3B"/>
    <w:rsid w:val="00CB7468"/>
    <w:rsid w:val="00CC0F01"/>
    <w:rsid w:val="00CC18D9"/>
    <w:rsid w:val="00CC6910"/>
    <w:rsid w:val="00CD0E66"/>
    <w:rsid w:val="00CD147E"/>
    <w:rsid w:val="00CD1653"/>
    <w:rsid w:val="00CD1CCD"/>
    <w:rsid w:val="00CD6D32"/>
    <w:rsid w:val="00CD7BFA"/>
    <w:rsid w:val="00CE11F3"/>
    <w:rsid w:val="00CE2285"/>
    <w:rsid w:val="00CE27F0"/>
    <w:rsid w:val="00CE3A41"/>
    <w:rsid w:val="00CE42EB"/>
    <w:rsid w:val="00CE5072"/>
    <w:rsid w:val="00CE623D"/>
    <w:rsid w:val="00CF16E8"/>
    <w:rsid w:val="00CF2B64"/>
    <w:rsid w:val="00CF3385"/>
    <w:rsid w:val="00D047E6"/>
    <w:rsid w:val="00D048C4"/>
    <w:rsid w:val="00D070A1"/>
    <w:rsid w:val="00D11E28"/>
    <w:rsid w:val="00D17CD8"/>
    <w:rsid w:val="00D20182"/>
    <w:rsid w:val="00D26533"/>
    <w:rsid w:val="00D27A51"/>
    <w:rsid w:val="00D27C1E"/>
    <w:rsid w:val="00D308C1"/>
    <w:rsid w:val="00D31D74"/>
    <w:rsid w:val="00D37BBE"/>
    <w:rsid w:val="00D4725E"/>
    <w:rsid w:val="00D52A36"/>
    <w:rsid w:val="00D546FD"/>
    <w:rsid w:val="00D55628"/>
    <w:rsid w:val="00D57CD3"/>
    <w:rsid w:val="00D66858"/>
    <w:rsid w:val="00D668A8"/>
    <w:rsid w:val="00D73ACB"/>
    <w:rsid w:val="00D74630"/>
    <w:rsid w:val="00D7661F"/>
    <w:rsid w:val="00D77343"/>
    <w:rsid w:val="00D832A4"/>
    <w:rsid w:val="00D8751F"/>
    <w:rsid w:val="00D90428"/>
    <w:rsid w:val="00D91001"/>
    <w:rsid w:val="00D93392"/>
    <w:rsid w:val="00D9737D"/>
    <w:rsid w:val="00D977E7"/>
    <w:rsid w:val="00DA27C6"/>
    <w:rsid w:val="00DA3539"/>
    <w:rsid w:val="00DA6854"/>
    <w:rsid w:val="00DB0037"/>
    <w:rsid w:val="00DB0429"/>
    <w:rsid w:val="00DB5110"/>
    <w:rsid w:val="00DB65B3"/>
    <w:rsid w:val="00DB7338"/>
    <w:rsid w:val="00DD5E55"/>
    <w:rsid w:val="00E01FEC"/>
    <w:rsid w:val="00E04499"/>
    <w:rsid w:val="00E046B7"/>
    <w:rsid w:val="00E0525B"/>
    <w:rsid w:val="00E0637B"/>
    <w:rsid w:val="00E076D3"/>
    <w:rsid w:val="00E10E6D"/>
    <w:rsid w:val="00E11425"/>
    <w:rsid w:val="00E1546D"/>
    <w:rsid w:val="00E17835"/>
    <w:rsid w:val="00E22A1B"/>
    <w:rsid w:val="00E23E8C"/>
    <w:rsid w:val="00E251B2"/>
    <w:rsid w:val="00E3566D"/>
    <w:rsid w:val="00E402CD"/>
    <w:rsid w:val="00E44F7D"/>
    <w:rsid w:val="00E452B9"/>
    <w:rsid w:val="00E4676B"/>
    <w:rsid w:val="00E478F3"/>
    <w:rsid w:val="00E50448"/>
    <w:rsid w:val="00E50EFC"/>
    <w:rsid w:val="00E534D3"/>
    <w:rsid w:val="00E60A79"/>
    <w:rsid w:val="00E66672"/>
    <w:rsid w:val="00E668A7"/>
    <w:rsid w:val="00E70537"/>
    <w:rsid w:val="00E806B0"/>
    <w:rsid w:val="00E80E6C"/>
    <w:rsid w:val="00E80E95"/>
    <w:rsid w:val="00E828AE"/>
    <w:rsid w:val="00E82C26"/>
    <w:rsid w:val="00E83111"/>
    <w:rsid w:val="00E83521"/>
    <w:rsid w:val="00E835BC"/>
    <w:rsid w:val="00E84551"/>
    <w:rsid w:val="00E856A4"/>
    <w:rsid w:val="00E862D4"/>
    <w:rsid w:val="00E90C4C"/>
    <w:rsid w:val="00E91061"/>
    <w:rsid w:val="00E9409F"/>
    <w:rsid w:val="00E94893"/>
    <w:rsid w:val="00E959F8"/>
    <w:rsid w:val="00E95B0F"/>
    <w:rsid w:val="00EA0755"/>
    <w:rsid w:val="00EA60DC"/>
    <w:rsid w:val="00EB4F4F"/>
    <w:rsid w:val="00EB55B8"/>
    <w:rsid w:val="00EB594D"/>
    <w:rsid w:val="00EB5DA9"/>
    <w:rsid w:val="00EB60BC"/>
    <w:rsid w:val="00EB7B26"/>
    <w:rsid w:val="00EB7F7A"/>
    <w:rsid w:val="00EC148E"/>
    <w:rsid w:val="00EC5179"/>
    <w:rsid w:val="00EC62B0"/>
    <w:rsid w:val="00ED15D5"/>
    <w:rsid w:val="00ED4022"/>
    <w:rsid w:val="00ED60F1"/>
    <w:rsid w:val="00ED6BAA"/>
    <w:rsid w:val="00EE0366"/>
    <w:rsid w:val="00EE29C0"/>
    <w:rsid w:val="00EE31F9"/>
    <w:rsid w:val="00EE4262"/>
    <w:rsid w:val="00EE4838"/>
    <w:rsid w:val="00EE5A71"/>
    <w:rsid w:val="00EE6814"/>
    <w:rsid w:val="00EE7176"/>
    <w:rsid w:val="00EF001E"/>
    <w:rsid w:val="00EF05ED"/>
    <w:rsid w:val="00EF0B1B"/>
    <w:rsid w:val="00EF600F"/>
    <w:rsid w:val="00F06FDD"/>
    <w:rsid w:val="00F239EA"/>
    <w:rsid w:val="00F24EAE"/>
    <w:rsid w:val="00F26862"/>
    <w:rsid w:val="00F32A70"/>
    <w:rsid w:val="00F3445C"/>
    <w:rsid w:val="00F34DF8"/>
    <w:rsid w:val="00F351A4"/>
    <w:rsid w:val="00F37C77"/>
    <w:rsid w:val="00F41ED9"/>
    <w:rsid w:val="00F45B6A"/>
    <w:rsid w:val="00F46FF6"/>
    <w:rsid w:val="00F47F65"/>
    <w:rsid w:val="00F536F8"/>
    <w:rsid w:val="00F55FE5"/>
    <w:rsid w:val="00F56885"/>
    <w:rsid w:val="00F60370"/>
    <w:rsid w:val="00F70431"/>
    <w:rsid w:val="00F70965"/>
    <w:rsid w:val="00F722DC"/>
    <w:rsid w:val="00F7280F"/>
    <w:rsid w:val="00F73A91"/>
    <w:rsid w:val="00F75F43"/>
    <w:rsid w:val="00F77EF6"/>
    <w:rsid w:val="00F80152"/>
    <w:rsid w:val="00F845D5"/>
    <w:rsid w:val="00F85B6B"/>
    <w:rsid w:val="00F869D7"/>
    <w:rsid w:val="00F90B81"/>
    <w:rsid w:val="00F921DC"/>
    <w:rsid w:val="00F928C2"/>
    <w:rsid w:val="00F92ADC"/>
    <w:rsid w:val="00F97A99"/>
    <w:rsid w:val="00FA32C8"/>
    <w:rsid w:val="00FA33C0"/>
    <w:rsid w:val="00FA39E8"/>
    <w:rsid w:val="00FA717B"/>
    <w:rsid w:val="00FB0D27"/>
    <w:rsid w:val="00FB3030"/>
    <w:rsid w:val="00FB375F"/>
    <w:rsid w:val="00FB449E"/>
    <w:rsid w:val="00FB7A00"/>
    <w:rsid w:val="00FC053B"/>
    <w:rsid w:val="00FC0F08"/>
    <w:rsid w:val="00FC10C0"/>
    <w:rsid w:val="00FC18C4"/>
    <w:rsid w:val="00FC29E2"/>
    <w:rsid w:val="00FC61C6"/>
    <w:rsid w:val="00FD08C4"/>
    <w:rsid w:val="00FE1432"/>
    <w:rsid w:val="00FE2170"/>
    <w:rsid w:val="00FE5D5E"/>
    <w:rsid w:val="00FE65D0"/>
    <w:rsid w:val="00FF019A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C2FAA57"/>
  <w15:chartTrackingRefBased/>
  <w15:docId w15:val="{B79178FB-6C6E-4002-ACE5-A94967A4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91ABB"/>
    <w:pPr>
      <w:autoSpaceDE w:val="0"/>
      <w:autoSpaceDN w:val="0"/>
      <w:ind w:firstLine="709"/>
      <w:jc w:val="both"/>
    </w:pPr>
    <w:rPr>
      <w:sz w:val="24"/>
      <w:szCs w:val="22"/>
      <w:lang w:eastAsia="en-US"/>
    </w:rPr>
  </w:style>
  <w:style w:type="paragraph" w:styleId="Nadpis1">
    <w:name w:val="heading 1"/>
    <w:basedOn w:val="Normln"/>
    <w:next w:val="Nadpis2"/>
    <w:qFormat/>
    <w:pPr>
      <w:keepNext/>
      <w:numPr>
        <w:numId w:val="3"/>
      </w:numPr>
      <w:spacing w:before="240" w:after="60"/>
      <w:ind w:firstLine="0"/>
      <w:jc w:val="center"/>
      <w:outlineLvl w:val="0"/>
    </w:pPr>
    <w:rPr>
      <w:b/>
      <w:bCs/>
      <w:kern w:val="28"/>
      <w:sz w:val="36"/>
      <w:szCs w:val="36"/>
    </w:rPr>
  </w:style>
  <w:style w:type="paragraph" w:styleId="Nadpis2">
    <w:name w:val="heading 2"/>
    <w:basedOn w:val="Normln"/>
    <w:next w:val="Normln"/>
    <w:link w:val="Nadpis2Char"/>
    <w:qFormat/>
    <w:pPr>
      <w:numPr>
        <w:ilvl w:val="1"/>
        <w:numId w:val="3"/>
      </w:numPr>
      <w:spacing w:before="240" w:after="60"/>
      <w:ind w:firstLine="0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/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 w:cs="Arial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678"/>
        <w:tab w:val="right" w:pos="9356"/>
      </w:tabs>
      <w:spacing w:before="60"/>
      <w:ind w:firstLine="0"/>
    </w:pPr>
    <w:rPr>
      <w:sz w:val="20"/>
      <w:szCs w:val="20"/>
    </w:rPr>
  </w:style>
  <w:style w:type="character" w:styleId="slostrnky">
    <w:name w:val="page number"/>
    <w:rPr>
      <w:rFonts w:ascii="Verdana" w:hAnsi="Verdana"/>
      <w:sz w:val="18"/>
      <w:szCs w:val="18"/>
    </w:rPr>
  </w:style>
  <w:style w:type="paragraph" w:customStyle="1" w:styleId="Posledn">
    <w:name w:val="Poslední"/>
    <w:basedOn w:val="Normln"/>
    <w:pPr>
      <w:tabs>
        <w:tab w:val="left" w:pos="0"/>
        <w:tab w:val="right" w:pos="9356"/>
      </w:tabs>
      <w:spacing w:before="60"/>
      <w:ind w:firstLine="0"/>
    </w:pPr>
    <w:rPr>
      <w:sz w:val="20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Obsah1">
    <w:name w:val="toc 1"/>
    <w:basedOn w:val="Normln"/>
    <w:next w:val="Normln"/>
    <w:autoRedefine/>
    <w:semiHidden/>
    <w:pPr>
      <w:spacing w:before="360"/>
      <w:jc w:val="left"/>
    </w:pPr>
    <w:rPr>
      <w:b/>
      <w:bCs/>
      <w:caps/>
      <w:szCs w:val="28"/>
    </w:rPr>
  </w:style>
  <w:style w:type="paragraph" w:styleId="Obsah2">
    <w:name w:val="toc 2"/>
    <w:basedOn w:val="Normln"/>
    <w:next w:val="Normln"/>
    <w:autoRedefine/>
    <w:uiPriority w:val="39"/>
    <w:rsid w:val="001D7DC8"/>
    <w:pPr>
      <w:tabs>
        <w:tab w:val="right" w:leader="dot" w:pos="9345"/>
      </w:tabs>
      <w:spacing w:before="120"/>
      <w:jc w:val="left"/>
    </w:pPr>
    <w:rPr>
      <w:noProof/>
      <w:color w:val="000000"/>
      <w:szCs w:val="24"/>
    </w:rPr>
  </w:style>
  <w:style w:type="paragraph" w:styleId="Obsah3">
    <w:name w:val="toc 3"/>
    <w:basedOn w:val="Normln"/>
    <w:next w:val="Normln"/>
    <w:autoRedefine/>
    <w:uiPriority w:val="39"/>
    <w:pPr>
      <w:ind w:left="220"/>
      <w:jc w:val="left"/>
    </w:pPr>
    <w:rPr>
      <w:szCs w:val="24"/>
    </w:rPr>
  </w:style>
  <w:style w:type="paragraph" w:customStyle="1" w:styleId="bn2">
    <w:name w:val="běžný2"/>
    <w:basedOn w:val="Normln"/>
    <w:pPr>
      <w:spacing w:before="60"/>
      <w:ind w:firstLine="0"/>
    </w:pPr>
  </w:style>
  <w:style w:type="paragraph" w:customStyle="1" w:styleId="normy">
    <w:name w:val="normy"/>
    <w:basedOn w:val="bn2"/>
    <w:pPr>
      <w:tabs>
        <w:tab w:val="left" w:pos="1701"/>
      </w:tabs>
    </w:pPr>
  </w:style>
  <w:style w:type="paragraph" w:styleId="Obsah4">
    <w:name w:val="toc 4"/>
    <w:basedOn w:val="Normln"/>
    <w:next w:val="Normln"/>
    <w:autoRedefine/>
    <w:semiHidden/>
    <w:pPr>
      <w:ind w:left="440"/>
      <w:jc w:val="left"/>
    </w:pPr>
    <w:rPr>
      <w:szCs w:val="24"/>
    </w:rPr>
  </w:style>
  <w:style w:type="paragraph" w:styleId="Obsah5">
    <w:name w:val="toc 5"/>
    <w:basedOn w:val="Normln"/>
    <w:next w:val="Normln"/>
    <w:autoRedefine/>
    <w:semiHidden/>
    <w:pPr>
      <w:ind w:left="660"/>
      <w:jc w:val="left"/>
    </w:pPr>
    <w:rPr>
      <w:szCs w:val="24"/>
    </w:rPr>
  </w:style>
  <w:style w:type="paragraph" w:styleId="Obsah6">
    <w:name w:val="toc 6"/>
    <w:basedOn w:val="Normln"/>
    <w:next w:val="Normln"/>
    <w:autoRedefine/>
    <w:semiHidden/>
    <w:pPr>
      <w:ind w:left="880"/>
      <w:jc w:val="left"/>
    </w:pPr>
    <w:rPr>
      <w:szCs w:val="24"/>
    </w:rPr>
  </w:style>
  <w:style w:type="paragraph" w:styleId="Obsah7">
    <w:name w:val="toc 7"/>
    <w:basedOn w:val="Normln"/>
    <w:next w:val="Normln"/>
    <w:autoRedefine/>
    <w:semiHidden/>
    <w:pPr>
      <w:ind w:left="1100"/>
      <w:jc w:val="left"/>
    </w:pPr>
    <w:rPr>
      <w:szCs w:val="24"/>
    </w:rPr>
  </w:style>
  <w:style w:type="paragraph" w:styleId="Obsah8">
    <w:name w:val="toc 8"/>
    <w:basedOn w:val="Normln"/>
    <w:next w:val="Normln"/>
    <w:autoRedefine/>
    <w:semiHidden/>
    <w:pPr>
      <w:ind w:left="1320"/>
      <w:jc w:val="left"/>
    </w:pPr>
    <w:rPr>
      <w:szCs w:val="24"/>
    </w:rPr>
  </w:style>
  <w:style w:type="paragraph" w:styleId="Obsah9">
    <w:name w:val="toc 9"/>
    <w:basedOn w:val="Normln"/>
    <w:next w:val="Normln"/>
    <w:autoRedefine/>
    <w:semiHidden/>
    <w:pPr>
      <w:ind w:left="1540"/>
      <w:jc w:val="left"/>
    </w:pPr>
    <w:rPr>
      <w:szCs w:val="24"/>
    </w:rPr>
  </w:style>
  <w:style w:type="paragraph" w:styleId="Zkladntextodsazen">
    <w:name w:val="Body Text Indent"/>
    <w:basedOn w:val="Normln"/>
  </w:style>
  <w:style w:type="paragraph" w:styleId="Zkladntextodsazen2">
    <w:name w:val="Body Text Indent 2"/>
    <w:basedOn w:val="Normln"/>
    <w:pPr>
      <w:ind w:firstLine="708"/>
    </w:pPr>
    <w:rPr>
      <w:color w:val="0000FF"/>
    </w:rPr>
  </w:style>
  <w:style w:type="paragraph" w:styleId="Zkladntextodsazen3">
    <w:name w:val="Body Text Indent 3"/>
    <w:basedOn w:val="Normln"/>
    <w:pPr>
      <w:ind w:firstLine="708"/>
    </w:pPr>
  </w:style>
  <w:style w:type="paragraph" w:styleId="Zkladntext">
    <w:name w:val="Body Text"/>
    <w:basedOn w:val="Normln"/>
    <w:pPr>
      <w:autoSpaceDE/>
      <w:autoSpaceDN/>
      <w:ind w:left="284" w:firstLine="0"/>
      <w:jc w:val="left"/>
    </w:pPr>
    <w:rPr>
      <w:szCs w:val="20"/>
    </w:rPr>
  </w:style>
  <w:style w:type="character" w:customStyle="1" w:styleId="Nadpis2Char">
    <w:name w:val="Nadpis 2 Char"/>
    <w:link w:val="Nadpis2"/>
    <w:rsid w:val="00305B83"/>
    <w:rPr>
      <w:b/>
      <w:bCs/>
      <w:sz w:val="28"/>
      <w:szCs w:val="28"/>
      <w:lang w:val="cs-CZ" w:eastAsia="en-US" w:bidi="ar-SA"/>
    </w:rPr>
  </w:style>
  <w:style w:type="table" w:styleId="Mkatabulky">
    <w:name w:val="Table Grid"/>
    <w:basedOn w:val="Normlntabulka"/>
    <w:rsid w:val="00D91001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piska">
    <w:name w:val="Rozpiska"/>
    <w:basedOn w:val="Normln"/>
    <w:rsid w:val="00D91001"/>
    <w:pPr>
      <w:autoSpaceDE/>
      <w:autoSpaceDN/>
      <w:ind w:firstLine="0"/>
      <w:jc w:val="left"/>
    </w:pPr>
    <w:rPr>
      <w:rFonts w:ascii="Arial" w:hAnsi="Arial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rsid w:val="00D973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9737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9</Pages>
  <Words>3501</Words>
  <Characters>20658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Projektant:</vt:lpstr>
    </vt:vector>
  </TitlesOfParts>
  <Company>Margold - statik</Company>
  <LinksUpToDate>false</LinksUpToDate>
  <CharactersWithSpaces>24111</CharactersWithSpaces>
  <SharedDoc>false</SharedDoc>
  <HLinks>
    <vt:vector size="144" baseType="variant">
      <vt:variant>
        <vt:i4>1310780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_Toc11843264</vt:lpwstr>
      </vt:variant>
      <vt:variant>
        <vt:i4>1245244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_Toc11843263</vt:lpwstr>
      </vt:variant>
      <vt:variant>
        <vt:i4>1179708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_Toc11843262</vt:lpwstr>
      </vt:variant>
      <vt:variant>
        <vt:i4>1114172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_Toc11843261</vt:lpwstr>
      </vt:variant>
      <vt:variant>
        <vt:i4>1048636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_Toc11843260</vt:lpwstr>
      </vt:variant>
      <vt:variant>
        <vt:i4>1638463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_Toc11843259</vt:lpwstr>
      </vt:variant>
      <vt:variant>
        <vt:i4>1572927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_Toc11843258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_Toc11843257</vt:lpwstr>
      </vt:variant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_Toc11843256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_Toc11843255</vt:lpwstr>
      </vt:variant>
      <vt:variant>
        <vt:i4>1310783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_Toc11843254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_Toc11843253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_Toc11843252</vt:lpwstr>
      </vt:variant>
      <vt:variant>
        <vt:i4>1114175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_Toc11843251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_Toc11843250</vt:lpwstr>
      </vt:variant>
      <vt:variant>
        <vt:i4>1638462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_Toc11843249</vt:lpwstr>
      </vt:variant>
      <vt:variant>
        <vt:i4>1572926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_Toc11843248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_Toc11843247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_Toc11843246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_Toc11843245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_Toc11843244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_Toc11843243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_Toc11843242</vt:lpwstr>
      </vt:variant>
      <vt:variant>
        <vt:i4>1114174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_Toc11843241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Projektant:</dc:title>
  <dc:subject/>
  <dc:creator>Honza</dc:creator>
  <cp:keywords/>
  <dc:description/>
  <cp:lastModifiedBy>rudolf.puchy@seznam.cz</cp:lastModifiedBy>
  <cp:revision>30</cp:revision>
  <cp:lastPrinted>2020-06-02T16:50:00Z</cp:lastPrinted>
  <dcterms:created xsi:type="dcterms:W3CDTF">2020-04-30T06:05:00Z</dcterms:created>
  <dcterms:modified xsi:type="dcterms:W3CDTF">2020-07-23T08:21:00Z</dcterms:modified>
</cp:coreProperties>
</file>